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lang w:bidi="ar"/>
        </w:rPr>
      </w:pPr>
      <w:r>
        <w:rPr>
          <w:rFonts w:hint="eastAsia"/>
          <w:lang w:bidi="ar"/>
        </w:rPr>
        <w:t>浙江水利水电学院下沙校区</w:t>
      </w:r>
    </w:p>
    <w:p>
      <w:pPr>
        <w:pStyle w:val="4"/>
        <w:spacing w:before="0" w:line="240" w:lineRule="auto"/>
        <w:jc w:val="center"/>
        <w:rPr>
          <w:lang w:bidi="ar"/>
        </w:rPr>
      </w:pPr>
      <w:r>
        <w:rPr>
          <w:rFonts w:hint="eastAsia"/>
          <w:lang w:bidi="ar"/>
        </w:rPr>
        <w:t>202</w:t>
      </w:r>
      <w:r>
        <w:rPr>
          <w:lang w:bidi="ar"/>
        </w:rPr>
        <w:t>3</w:t>
      </w:r>
      <w:r>
        <w:rPr>
          <w:rFonts w:hint="eastAsia"/>
          <w:lang w:bidi="ar"/>
        </w:rPr>
        <w:t>年信息系统网络安全等保测评服务采购公告</w:t>
      </w:r>
    </w:p>
    <w:p>
      <w:pPr>
        <w:rPr>
          <w:b/>
          <w:sz w:val="24"/>
        </w:rPr>
      </w:pPr>
      <w:r>
        <w:rPr>
          <w:b/>
          <w:sz w:val="24"/>
        </w:rPr>
        <w:t>一、项目概况</w:t>
      </w:r>
    </w:p>
    <w:p>
      <w:pPr>
        <w:spacing w:before="60" w:after="60"/>
        <w:rPr>
          <w:b/>
          <w:bCs/>
          <w:iCs/>
          <w:sz w:val="24"/>
        </w:rPr>
      </w:pPr>
      <w:r>
        <w:rPr>
          <w:b/>
          <w:bCs/>
          <w:iCs/>
          <w:sz w:val="24"/>
        </w:rPr>
        <w:t>（一）服务内容</w:t>
      </w:r>
    </w:p>
    <w:p>
      <w:pPr>
        <w:ind w:firstLine="480" w:firstLineChars="200"/>
        <w:rPr>
          <w:sz w:val="24"/>
        </w:rPr>
      </w:pPr>
      <w:r>
        <w:rPr>
          <w:sz w:val="24"/>
        </w:rPr>
        <w:t>依据《中华人民共和国网络安全法》《中华人民共和国计算机信息系统安全保护条例》（国务院147号令）和《信息安全等级保护管理办法》等相关文件及标准要求，浙江水利水电学院拟对部分信息系统开展等保测评工作，请</w:t>
      </w:r>
      <w:r>
        <w:rPr>
          <w:rFonts w:hint="eastAsia"/>
          <w:sz w:val="24"/>
        </w:rPr>
        <w:t>各</w:t>
      </w:r>
      <w:r>
        <w:rPr>
          <w:sz w:val="24"/>
        </w:rPr>
        <w:t>供应商根据各自情况对</w:t>
      </w:r>
      <w:r>
        <w:rPr>
          <w:rFonts w:hint="eastAsia"/>
          <w:sz w:val="24"/>
        </w:rPr>
        <w:t>以下</w:t>
      </w:r>
      <w:r>
        <w:rPr>
          <w:sz w:val="24"/>
        </w:rPr>
        <w:t>信息系统进行报价，总价最高限价为9.6万元。具体信息系统情况如下表：</w:t>
      </w:r>
    </w:p>
    <w:p>
      <w:pPr>
        <w:rPr>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943"/>
        <w:gridCol w:w="1728"/>
        <w:gridCol w:w="133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Align w:val="center"/>
          </w:tcPr>
          <w:p>
            <w:pPr>
              <w:widowControl/>
              <w:jc w:val="center"/>
              <w:rPr>
                <w:kern w:val="0"/>
                <w:sz w:val="24"/>
              </w:rPr>
            </w:pPr>
            <w:r>
              <w:rPr>
                <w:kern w:val="0"/>
                <w:sz w:val="24"/>
              </w:rPr>
              <w:t>序号</w:t>
            </w:r>
          </w:p>
        </w:tc>
        <w:tc>
          <w:tcPr>
            <w:tcW w:w="2943" w:type="dxa"/>
            <w:vAlign w:val="center"/>
          </w:tcPr>
          <w:p>
            <w:pPr>
              <w:widowControl/>
              <w:jc w:val="center"/>
              <w:rPr>
                <w:kern w:val="0"/>
                <w:sz w:val="24"/>
              </w:rPr>
            </w:pPr>
            <w:r>
              <w:rPr>
                <w:kern w:val="0"/>
                <w:sz w:val="24"/>
              </w:rPr>
              <w:t>采购内容</w:t>
            </w:r>
          </w:p>
        </w:tc>
        <w:tc>
          <w:tcPr>
            <w:tcW w:w="1728" w:type="dxa"/>
            <w:vAlign w:val="center"/>
          </w:tcPr>
          <w:p>
            <w:pPr>
              <w:widowControl/>
              <w:jc w:val="center"/>
              <w:rPr>
                <w:kern w:val="0"/>
                <w:sz w:val="24"/>
              </w:rPr>
            </w:pPr>
            <w:r>
              <w:rPr>
                <w:kern w:val="0"/>
                <w:sz w:val="24"/>
              </w:rPr>
              <w:t>采购</w:t>
            </w:r>
            <w:r>
              <w:rPr>
                <w:rFonts w:hint="eastAsia"/>
                <w:kern w:val="0"/>
                <w:sz w:val="24"/>
              </w:rPr>
              <w:t>项目</w:t>
            </w:r>
          </w:p>
        </w:tc>
        <w:tc>
          <w:tcPr>
            <w:tcW w:w="1335" w:type="dxa"/>
            <w:vAlign w:val="center"/>
          </w:tcPr>
          <w:p>
            <w:pPr>
              <w:widowControl/>
              <w:jc w:val="center"/>
              <w:rPr>
                <w:kern w:val="0"/>
                <w:sz w:val="24"/>
              </w:rPr>
            </w:pPr>
            <w:r>
              <w:rPr>
                <w:rFonts w:hint="eastAsia"/>
                <w:kern w:val="0"/>
                <w:sz w:val="24"/>
              </w:rPr>
              <w:t>等级</w:t>
            </w:r>
          </w:p>
        </w:tc>
        <w:tc>
          <w:tcPr>
            <w:tcW w:w="1391" w:type="dxa"/>
            <w:vAlign w:val="center"/>
          </w:tcPr>
          <w:p>
            <w:pPr>
              <w:widowControl/>
              <w:jc w:val="center"/>
              <w:rPr>
                <w:kern w:val="0"/>
                <w:sz w:val="24"/>
              </w:rPr>
            </w:pPr>
            <w:r>
              <w:rPr>
                <w:rFonts w:hint="eastAsia"/>
                <w:kern w:val="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Align w:val="center"/>
          </w:tcPr>
          <w:p>
            <w:pPr>
              <w:widowControl/>
              <w:jc w:val="center"/>
              <w:rPr>
                <w:kern w:val="0"/>
                <w:sz w:val="24"/>
              </w:rPr>
            </w:pPr>
            <w:r>
              <w:rPr>
                <w:kern w:val="0"/>
                <w:sz w:val="24"/>
              </w:rPr>
              <w:t>1</w:t>
            </w:r>
          </w:p>
        </w:tc>
        <w:tc>
          <w:tcPr>
            <w:tcW w:w="2943" w:type="dxa"/>
            <w:vAlign w:val="center"/>
          </w:tcPr>
          <w:p>
            <w:pPr>
              <w:widowControl/>
              <w:jc w:val="center"/>
              <w:rPr>
                <w:kern w:val="0"/>
                <w:sz w:val="24"/>
              </w:rPr>
            </w:pPr>
            <w:r>
              <w:rPr>
                <w:rFonts w:hint="eastAsia" w:ascii="宋体" w:hAnsi="宋体" w:cs="宋体"/>
                <w:kern w:val="0"/>
                <w:sz w:val="24"/>
              </w:rPr>
              <w:t>校务管理</w:t>
            </w:r>
          </w:p>
        </w:tc>
        <w:tc>
          <w:tcPr>
            <w:tcW w:w="1728" w:type="dxa"/>
            <w:vAlign w:val="center"/>
          </w:tcPr>
          <w:p>
            <w:pPr>
              <w:widowControl/>
              <w:jc w:val="center"/>
              <w:rPr>
                <w:rFonts w:eastAsia="Times New Roman"/>
                <w:kern w:val="0"/>
                <w:sz w:val="24"/>
                <w:lang w:eastAsia="zh-Hans"/>
              </w:rPr>
            </w:pPr>
            <w:r>
              <w:rPr>
                <w:rFonts w:hint="eastAsia" w:ascii="宋体" w:hAnsi="宋体" w:cs="宋体"/>
                <w:kern w:val="0"/>
                <w:sz w:val="24"/>
              </w:rPr>
              <w:t>等保测评</w:t>
            </w:r>
          </w:p>
        </w:tc>
        <w:tc>
          <w:tcPr>
            <w:tcW w:w="1335" w:type="dxa"/>
            <w:vAlign w:val="center"/>
          </w:tcPr>
          <w:p>
            <w:pPr>
              <w:widowControl/>
              <w:jc w:val="center"/>
              <w:rPr>
                <w:kern w:val="0"/>
                <w:sz w:val="24"/>
              </w:rPr>
            </w:pPr>
            <w:r>
              <w:rPr>
                <w:rFonts w:hint="eastAsia"/>
                <w:kern w:val="0"/>
                <w:sz w:val="24"/>
              </w:rPr>
              <w:t>二级</w:t>
            </w:r>
          </w:p>
        </w:tc>
        <w:tc>
          <w:tcPr>
            <w:tcW w:w="1391"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Align w:val="center"/>
          </w:tcPr>
          <w:p>
            <w:pPr>
              <w:widowControl/>
              <w:jc w:val="center"/>
              <w:rPr>
                <w:kern w:val="0"/>
                <w:sz w:val="24"/>
              </w:rPr>
            </w:pPr>
            <w:r>
              <w:rPr>
                <w:rFonts w:hint="eastAsia"/>
                <w:kern w:val="0"/>
                <w:sz w:val="24"/>
              </w:rPr>
              <w:t>2</w:t>
            </w:r>
          </w:p>
        </w:tc>
        <w:tc>
          <w:tcPr>
            <w:tcW w:w="2943" w:type="dxa"/>
            <w:vAlign w:val="center"/>
          </w:tcPr>
          <w:p>
            <w:pPr>
              <w:widowControl/>
              <w:jc w:val="center"/>
              <w:rPr>
                <w:kern w:val="0"/>
                <w:sz w:val="24"/>
              </w:rPr>
            </w:pPr>
            <w:r>
              <w:rPr>
                <w:rFonts w:hint="eastAsia"/>
                <w:kern w:val="0"/>
                <w:sz w:val="24"/>
              </w:rPr>
              <w:t>招生就业系统</w:t>
            </w:r>
          </w:p>
        </w:tc>
        <w:tc>
          <w:tcPr>
            <w:tcW w:w="1728" w:type="dxa"/>
            <w:vAlign w:val="center"/>
          </w:tcPr>
          <w:p>
            <w:pPr>
              <w:widowControl/>
              <w:jc w:val="center"/>
              <w:rPr>
                <w:rFonts w:ascii="宋体" w:hAnsi="宋体" w:cs="宋体"/>
                <w:kern w:val="0"/>
                <w:sz w:val="24"/>
              </w:rPr>
            </w:pPr>
            <w:r>
              <w:rPr>
                <w:rFonts w:hint="eastAsia" w:ascii="宋体" w:hAnsi="宋体" w:cs="宋体"/>
                <w:kern w:val="0"/>
                <w:sz w:val="24"/>
              </w:rPr>
              <w:t>等保测评</w:t>
            </w:r>
          </w:p>
        </w:tc>
        <w:tc>
          <w:tcPr>
            <w:tcW w:w="1335" w:type="dxa"/>
            <w:vAlign w:val="center"/>
          </w:tcPr>
          <w:p>
            <w:pPr>
              <w:widowControl/>
              <w:jc w:val="center"/>
              <w:rPr>
                <w:kern w:val="0"/>
                <w:sz w:val="24"/>
              </w:rPr>
            </w:pPr>
            <w:r>
              <w:rPr>
                <w:rFonts w:hint="eastAsia"/>
                <w:kern w:val="0"/>
                <w:sz w:val="24"/>
              </w:rPr>
              <w:t>二级</w:t>
            </w:r>
          </w:p>
        </w:tc>
        <w:tc>
          <w:tcPr>
            <w:tcW w:w="1391" w:type="dxa"/>
            <w:vAlign w:val="center"/>
          </w:tcPr>
          <w:p>
            <w:pPr>
              <w:widowControl/>
              <w:jc w:val="center"/>
              <w:rPr>
                <w:kern w:val="0"/>
                <w:sz w:val="24"/>
              </w:rPr>
            </w:pPr>
            <w:r>
              <w:rPr>
                <w:rFonts w:hint="eastAsia"/>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Align w:val="center"/>
          </w:tcPr>
          <w:p>
            <w:pPr>
              <w:widowControl/>
              <w:jc w:val="center"/>
              <w:rPr>
                <w:kern w:val="0"/>
                <w:sz w:val="24"/>
              </w:rPr>
            </w:pPr>
            <w:r>
              <w:rPr>
                <w:rFonts w:hint="eastAsia"/>
                <w:kern w:val="0"/>
                <w:sz w:val="24"/>
              </w:rPr>
              <w:t>3</w:t>
            </w:r>
          </w:p>
        </w:tc>
        <w:tc>
          <w:tcPr>
            <w:tcW w:w="2943" w:type="dxa"/>
            <w:vAlign w:val="center"/>
          </w:tcPr>
          <w:p>
            <w:pPr>
              <w:widowControl/>
              <w:jc w:val="center"/>
              <w:rPr>
                <w:kern w:val="0"/>
                <w:sz w:val="24"/>
              </w:rPr>
            </w:pPr>
            <w:r>
              <w:rPr>
                <w:rFonts w:hint="eastAsia"/>
                <w:kern w:val="0"/>
                <w:sz w:val="24"/>
              </w:rPr>
              <w:t>综合服务</w:t>
            </w:r>
          </w:p>
        </w:tc>
        <w:tc>
          <w:tcPr>
            <w:tcW w:w="1728" w:type="dxa"/>
            <w:vAlign w:val="center"/>
          </w:tcPr>
          <w:p>
            <w:pPr>
              <w:widowControl/>
              <w:jc w:val="center"/>
              <w:rPr>
                <w:rFonts w:ascii="宋体" w:hAnsi="宋体" w:cs="宋体"/>
                <w:kern w:val="0"/>
                <w:sz w:val="24"/>
              </w:rPr>
            </w:pPr>
            <w:r>
              <w:rPr>
                <w:rFonts w:hint="eastAsia" w:ascii="宋体" w:hAnsi="宋体" w:cs="宋体"/>
                <w:kern w:val="0"/>
                <w:sz w:val="24"/>
              </w:rPr>
              <w:t>等保测评</w:t>
            </w:r>
          </w:p>
        </w:tc>
        <w:tc>
          <w:tcPr>
            <w:tcW w:w="1335" w:type="dxa"/>
            <w:vAlign w:val="center"/>
          </w:tcPr>
          <w:p>
            <w:pPr>
              <w:widowControl/>
              <w:jc w:val="center"/>
              <w:rPr>
                <w:kern w:val="0"/>
                <w:sz w:val="24"/>
              </w:rPr>
            </w:pPr>
            <w:r>
              <w:rPr>
                <w:rFonts w:hint="eastAsia"/>
                <w:kern w:val="0"/>
                <w:sz w:val="24"/>
              </w:rPr>
              <w:t>二级</w:t>
            </w:r>
          </w:p>
        </w:tc>
        <w:tc>
          <w:tcPr>
            <w:tcW w:w="1391" w:type="dxa"/>
            <w:vAlign w:val="center"/>
          </w:tcPr>
          <w:p>
            <w:pPr>
              <w:widowControl/>
              <w:jc w:val="center"/>
              <w:rPr>
                <w:kern w:val="0"/>
                <w:sz w:val="24"/>
              </w:rPr>
            </w:pPr>
            <w:r>
              <w:rPr>
                <w:rFonts w:hint="eastAsia"/>
                <w:kern w:val="0"/>
                <w:sz w:val="24"/>
              </w:rPr>
              <w:t>1</w:t>
            </w:r>
          </w:p>
        </w:tc>
      </w:tr>
    </w:tbl>
    <w:p>
      <w:pPr>
        <w:rPr>
          <w:sz w:val="24"/>
        </w:rPr>
      </w:pPr>
    </w:p>
    <w:p>
      <w:pPr>
        <w:spacing w:before="60" w:after="60"/>
        <w:rPr>
          <w:b/>
          <w:sz w:val="24"/>
        </w:rPr>
      </w:pPr>
      <w:r>
        <w:rPr>
          <w:b/>
          <w:sz w:val="24"/>
        </w:rPr>
        <w:t>1.服务要求与依据标准：</w:t>
      </w:r>
    </w:p>
    <w:p>
      <w:pPr>
        <w:ind w:firstLine="480" w:firstLineChars="200"/>
        <w:rPr>
          <w:sz w:val="24"/>
        </w:rPr>
      </w:pPr>
      <w:r>
        <w:rPr>
          <w:sz w:val="24"/>
        </w:rPr>
        <w:t>供应商应依据国家等级保护相关标准开展工作，依据标准（包括但不限于）如下国家标准：</w:t>
      </w:r>
    </w:p>
    <w:p>
      <w:pPr>
        <w:ind w:firstLine="480" w:firstLineChars="200"/>
        <w:rPr>
          <w:sz w:val="24"/>
        </w:rPr>
      </w:pPr>
      <w:r>
        <w:rPr>
          <w:sz w:val="24"/>
        </w:rPr>
        <w:t>GB/T 22239-2019 信息安全技术网络安全等级保护基本要求</w:t>
      </w:r>
    </w:p>
    <w:p>
      <w:pPr>
        <w:ind w:firstLine="480" w:firstLineChars="200"/>
        <w:rPr>
          <w:sz w:val="24"/>
        </w:rPr>
      </w:pPr>
      <w:r>
        <w:rPr>
          <w:sz w:val="24"/>
        </w:rPr>
        <w:t>GB/T 28448-2019 信息安全技术网络安全等级保护测评要求</w:t>
      </w:r>
    </w:p>
    <w:p>
      <w:pPr>
        <w:spacing w:before="60" w:after="60"/>
        <w:rPr>
          <w:b/>
          <w:sz w:val="24"/>
        </w:rPr>
      </w:pPr>
      <w:r>
        <w:rPr>
          <w:b/>
          <w:sz w:val="24"/>
        </w:rPr>
        <w:t>2.测评内容：</w:t>
      </w:r>
    </w:p>
    <w:p>
      <w:pPr>
        <w:ind w:firstLine="480" w:firstLineChars="200"/>
        <w:rPr>
          <w:sz w:val="24"/>
        </w:rPr>
      </w:pPr>
      <w:r>
        <w:rPr>
          <w:sz w:val="24"/>
        </w:rPr>
        <w:t>根据国家等级保护相关标准，供应商对信息系统完成测评。信息系统安全等级保护测评的内容（包括但不限于）以下内容：</w:t>
      </w:r>
    </w:p>
    <w:p>
      <w:pPr>
        <w:ind w:firstLine="480" w:firstLineChars="200"/>
        <w:rPr>
          <w:sz w:val="24"/>
        </w:rPr>
      </w:pPr>
      <w:r>
        <w:rPr>
          <w:sz w:val="24"/>
        </w:rPr>
        <w:t>根据用户单位信息系统的保护等级，并依据《GB/T 22239-2019信息安全技术信息系统安全等级保护基本要求》的条款要求，全面分析应用系统的安全保护措施与等级保护相应级别之间的差距，进行合规性分析，为系统等级保护加固整改提供客观依据，配合委托方督促集成商根据安全改进建议进行适度加固整改，测评的内容包括但不限于以下内容：</w:t>
      </w:r>
    </w:p>
    <w:p>
      <w:pPr>
        <w:ind w:firstLine="480" w:firstLineChars="200"/>
        <w:rPr>
          <w:sz w:val="24"/>
        </w:rPr>
      </w:pPr>
      <w:r>
        <w:rPr>
          <w:sz w:val="24"/>
        </w:rPr>
        <w:t>安全通用要求（安全物理环境、安全通信网络、安全区域边界、安全计算环境、安全管理中心、安全管理制度、安全管理机构、安全管理人员、安全建设管理、安全运维管理）及扩展项要求。</w:t>
      </w:r>
    </w:p>
    <w:p>
      <w:pPr>
        <w:spacing w:before="60" w:after="60"/>
        <w:rPr>
          <w:b/>
          <w:sz w:val="24"/>
        </w:rPr>
      </w:pPr>
      <w:r>
        <w:rPr>
          <w:rFonts w:hint="eastAsia"/>
          <w:b/>
          <w:sz w:val="24"/>
        </w:rPr>
        <w:t>3</w:t>
      </w:r>
      <w:r>
        <w:rPr>
          <w:b/>
          <w:sz w:val="24"/>
        </w:rPr>
        <w:t>.技术服务：</w:t>
      </w:r>
    </w:p>
    <w:p>
      <w:pPr>
        <w:rPr>
          <w:rFonts w:eastAsiaTheme="minorEastAsia"/>
          <w:iCs/>
          <w:sz w:val="24"/>
        </w:rPr>
      </w:pPr>
      <w:r>
        <w:rPr>
          <w:rFonts w:eastAsiaTheme="minorEastAsia"/>
          <w:iCs/>
          <w:sz w:val="24"/>
        </w:rPr>
        <w:t>（1）测评应满足的原则</w:t>
      </w:r>
    </w:p>
    <w:p>
      <w:pPr>
        <w:rPr>
          <w:rFonts w:eastAsiaTheme="minorEastAsia"/>
          <w:iCs/>
          <w:sz w:val="24"/>
        </w:rPr>
      </w:pPr>
      <w:r>
        <w:rPr>
          <w:rFonts w:eastAsiaTheme="minorEastAsia"/>
          <w:iCs/>
          <w:sz w:val="24"/>
        </w:rPr>
        <w:t>本次安全保护等级保护测评实施方案设计与具体实施应满足以下原则：</w:t>
      </w:r>
    </w:p>
    <w:p>
      <w:pPr>
        <w:pStyle w:val="28"/>
        <w:numPr>
          <w:ilvl w:val="0"/>
          <w:numId w:val="1"/>
        </w:numPr>
        <w:ind w:firstLineChars="0"/>
        <w:rPr>
          <w:rFonts w:eastAsiaTheme="minorEastAsia"/>
          <w:iCs/>
          <w:sz w:val="24"/>
        </w:rPr>
      </w:pPr>
      <w:r>
        <w:rPr>
          <w:rFonts w:eastAsiaTheme="minorEastAsia"/>
          <w:iCs/>
          <w:sz w:val="24"/>
        </w:rPr>
        <w:t>保密原则：对测评的过程数据和结果数据严格保密，未经授权不得泄露给任何单位和个人，不得利用此数据进行任何侵害采购人的行为，否则采购人有权追究投标供应商的责任。</w:t>
      </w:r>
    </w:p>
    <w:p>
      <w:pPr>
        <w:pStyle w:val="28"/>
        <w:numPr>
          <w:ilvl w:val="0"/>
          <w:numId w:val="1"/>
        </w:numPr>
        <w:ind w:firstLineChars="0"/>
        <w:rPr>
          <w:rFonts w:eastAsiaTheme="minorEastAsia"/>
          <w:iCs/>
          <w:sz w:val="24"/>
        </w:rPr>
      </w:pPr>
      <w:r>
        <w:rPr>
          <w:rFonts w:eastAsiaTheme="minorEastAsia"/>
          <w:iCs/>
          <w:sz w:val="24"/>
        </w:rPr>
        <w:t>标准性原则：测评方案的设计与实施应依据国家等级保护的相关标准进行。</w:t>
      </w:r>
    </w:p>
    <w:p>
      <w:pPr>
        <w:pStyle w:val="28"/>
        <w:numPr>
          <w:ilvl w:val="0"/>
          <w:numId w:val="1"/>
        </w:numPr>
        <w:ind w:firstLineChars="0"/>
        <w:rPr>
          <w:rFonts w:eastAsiaTheme="minorEastAsia"/>
          <w:iCs/>
          <w:sz w:val="24"/>
        </w:rPr>
      </w:pPr>
      <w:r>
        <w:rPr>
          <w:rFonts w:eastAsiaTheme="minorEastAsia"/>
          <w:iCs/>
          <w:sz w:val="24"/>
        </w:rPr>
        <w:t>规范性原则：投标供应商的工作中的过程和文档，具有很好的规范性，可以便于项目的跟踪和控制。</w:t>
      </w:r>
    </w:p>
    <w:p>
      <w:pPr>
        <w:pStyle w:val="28"/>
        <w:numPr>
          <w:ilvl w:val="0"/>
          <w:numId w:val="1"/>
        </w:numPr>
        <w:ind w:firstLineChars="0"/>
        <w:rPr>
          <w:rFonts w:eastAsiaTheme="minorEastAsia"/>
          <w:iCs/>
          <w:sz w:val="24"/>
        </w:rPr>
      </w:pPr>
      <w:r>
        <w:rPr>
          <w:rFonts w:eastAsiaTheme="minorEastAsia"/>
          <w:iCs/>
          <w:sz w:val="24"/>
        </w:rPr>
        <w:t>可控性原则：测评服务的进度要跟上进度表的安排，保证采购人对于测评工作的可控性。</w:t>
      </w:r>
    </w:p>
    <w:p>
      <w:pPr>
        <w:pStyle w:val="28"/>
        <w:numPr>
          <w:ilvl w:val="0"/>
          <w:numId w:val="1"/>
        </w:numPr>
        <w:ind w:firstLineChars="0"/>
        <w:rPr>
          <w:rFonts w:eastAsiaTheme="minorEastAsia"/>
          <w:iCs/>
          <w:sz w:val="24"/>
        </w:rPr>
      </w:pPr>
      <w:r>
        <w:rPr>
          <w:rFonts w:eastAsiaTheme="minorEastAsia"/>
          <w:iCs/>
          <w:sz w:val="24"/>
        </w:rPr>
        <w:t>整体性原则：测评的范围和内容应当整体全面，包括国家等级保护相关要求涉及的各个层面。</w:t>
      </w:r>
    </w:p>
    <w:p>
      <w:pPr>
        <w:pStyle w:val="28"/>
        <w:numPr>
          <w:ilvl w:val="0"/>
          <w:numId w:val="1"/>
        </w:numPr>
        <w:ind w:firstLineChars="0"/>
        <w:rPr>
          <w:rFonts w:eastAsiaTheme="minorEastAsia"/>
          <w:iCs/>
          <w:sz w:val="24"/>
        </w:rPr>
      </w:pPr>
      <w:r>
        <w:rPr>
          <w:rFonts w:eastAsiaTheme="minorEastAsia"/>
          <w:iCs/>
          <w:sz w:val="24"/>
        </w:rPr>
        <w:t>最小影响原则：测评工作应尽可能小的影响系统和网络，并在可控范围内；测评工作不能对现有信息系统的正常运行、业务的正常开展产生任何影响。</w:t>
      </w:r>
    </w:p>
    <w:p>
      <w:pPr>
        <w:rPr>
          <w:rFonts w:eastAsiaTheme="minorEastAsia"/>
          <w:iCs/>
          <w:sz w:val="24"/>
        </w:rPr>
      </w:pPr>
      <w:r>
        <w:rPr>
          <w:rFonts w:eastAsiaTheme="minorEastAsia"/>
          <w:iCs/>
          <w:sz w:val="24"/>
        </w:rPr>
        <w:t>（2）安全测评报告</w:t>
      </w:r>
    </w:p>
    <w:p>
      <w:pPr>
        <w:pStyle w:val="28"/>
        <w:numPr>
          <w:ilvl w:val="0"/>
          <w:numId w:val="2"/>
        </w:numPr>
        <w:ind w:firstLineChars="0"/>
        <w:rPr>
          <w:rFonts w:eastAsiaTheme="minorEastAsia"/>
          <w:sz w:val="24"/>
        </w:rPr>
      </w:pPr>
      <w:r>
        <w:rPr>
          <w:rFonts w:eastAsiaTheme="minorEastAsia"/>
          <w:sz w:val="24"/>
        </w:rPr>
        <w:t>投标供应商应对采购人的信息系统进行等级保护测评，形成相应的报告。</w:t>
      </w:r>
    </w:p>
    <w:p>
      <w:pPr>
        <w:pStyle w:val="28"/>
        <w:numPr>
          <w:ilvl w:val="0"/>
          <w:numId w:val="2"/>
        </w:numPr>
        <w:ind w:firstLineChars="0"/>
        <w:rPr>
          <w:rFonts w:eastAsiaTheme="minorEastAsia"/>
          <w:sz w:val="24"/>
        </w:rPr>
      </w:pPr>
      <w:r>
        <w:rPr>
          <w:rFonts w:eastAsiaTheme="minorEastAsia"/>
          <w:sz w:val="24"/>
        </w:rPr>
        <w:t>投标供应商在测评后出具符合公安厅要求的系统安全保护等级测评报告；</w:t>
      </w:r>
    </w:p>
    <w:p>
      <w:pPr>
        <w:pStyle w:val="28"/>
        <w:numPr>
          <w:ilvl w:val="0"/>
          <w:numId w:val="2"/>
        </w:numPr>
        <w:ind w:firstLineChars="0"/>
        <w:rPr>
          <w:rFonts w:eastAsiaTheme="minorEastAsia"/>
          <w:sz w:val="24"/>
        </w:rPr>
      </w:pPr>
      <w:r>
        <w:rPr>
          <w:rFonts w:eastAsiaTheme="minorEastAsia"/>
          <w:sz w:val="24"/>
        </w:rPr>
        <w:t>对上述系统不符合信息安全等级保护有关管理规范和技术标准的，投标供应商出具可行整改方案并协助采购人整改服务。</w:t>
      </w:r>
    </w:p>
    <w:p>
      <w:pPr>
        <w:pStyle w:val="28"/>
        <w:numPr>
          <w:ilvl w:val="0"/>
          <w:numId w:val="2"/>
        </w:numPr>
        <w:ind w:firstLineChars="0"/>
        <w:rPr>
          <w:rFonts w:eastAsiaTheme="minorEastAsia"/>
          <w:sz w:val="24"/>
        </w:rPr>
      </w:pPr>
      <w:r>
        <w:rPr>
          <w:rFonts w:eastAsiaTheme="minorEastAsia"/>
          <w:sz w:val="24"/>
        </w:rPr>
        <w:t>投标供应商协助采购人办理信息系统安全保护等级测评备案手续。</w:t>
      </w:r>
    </w:p>
    <w:p>
      <w:pPr>
        <w:rPr>
          <w:rFonts w:eastAsiaTheme="minorEastAsia"/>
          <w:iCs/>
          <w:sz w:val="24"/>
        </w:rPr>
      </w:pPr>
      <w:r>
        <w:rPr>
          <w:rFonts w:eastAsiaTheme="minorEastAsia"/>
          <w:iCs/>
          <w:sz w:val="24"/>
        </w:rPr>
        <w:t>（3）本次等级保护测评的整体要求</w:t>
      </w:r>
    </w:p>
    <w:p>
      <w:pPr>
        <w:pStyle w:val="28"/>
        <w:numPr>
          <w:ilvl w:val="0"/>
          <w:numId w:val="3"/>
        </w:numPr>
        <w:ind w:firstLineChars="0"/>
        <w:rPr>
          <w:rFonts w:eastAsiaTheme="minorEastAsia"/>
          <w:sz w:val="24"/>
        </w:rPr>
      </w:pPr>
      <w:r>
        <w:rPr>
          <w:rFonts w:eastAsiaTheme="minorEastAsia"/>
          <w:sz w:val="24"/>
        </w:rPr>
        <w:t>投标供应商应详细描述本次等级保护测评的整体实施方案，包括项目概述、等保测评方案、项目实施方案、测试过程中需使用测试设备清单、时间安排、阶段性文档提交和验收标准等。</w:t>
      </w:r>
    </w:p>
    <w:p>
      <w:pPr>
        <w:pStyle w:val="28"/>
        <w:numPr>
          <w:ilvl w:val="0"/>
          <w:numId w:val="3"/>
        </w:numPr>
        <w:ind w:firstLineChars="0"/>
        <w:rPr>
          <w:rFonts w:eastAsiaTheme="minorEastAsia"/>
          <w:sz w:val="24"/>
        </w:rPr>
      </w:pPr>
      <w:r>
        <w:rPr>
          <w:rFonts w:eastAsiaTheme="minorEastAsia"/>
          <w:sz w:val="24"/>
        </w:rPr>
        <w:t>投标供应商应详细描述测评人员的组成、资质及各自职责的划分。投标供应商应配置有经验的测评人员进行本次等级保护测评工作。</w:t>
      </w:r>
    </w:p>
    <w:p>
      <w:pPr>
        <w:pStyle w:val="28"/>
        <w:numPr>
          <w:ilvl w:val="0"/>
          <w:numId w:val="3"/>
        </w:numPr>
        <w:ind w:firstLineChars="0"/>
        <w:rPr>
          <w:rFonts w:eastAsiaTheme="minorEastAsia"/>
          <w:sz w:val="24"/>
        </w:rPr>
      </w:pPr>
      <w:r>
        <w:rPr>
          <w:rFonts w:eastAsiaTheme="minorEastAsia"/>
          <w:sz w:val="24"/>
        </w:rPr>
        <w:t>本次等级保护测评实施过程中所使用到的各种工具软件由投标供应商推荐，经采购人确认后由投标供应商提供并在测评中使用。在报价文件中应详细描述所使用的安全测评工具（软硬件型号、功能和性能描述）、使用的方式和时间、对环境和平台的要求以及使用可能对系统造成的风险等。</w:t>
      </w:r>
    </w:p>
    <w:p>
      <w:pPr>
        <w:pStyle w:val="28"/>
        <w:numPr>
          <w:ilvl w:val="0"/>
          <w:numId w:val="3"/>
        </w:numPr>
        <w:ind w:firstLineChars="0"/>
        <w:rPr>
          <w:rFonts w:eastAsiaTheme="minorEastAsia"/>
          <w:sz w:val="24"/>
        </w:rPr>
      </w:pPr>
      <w:r>
        <w:rPr>
          <w:rFonts w:eastAsiaTheme="minorEastAsia"/>
          <w:sz w:val="24"/>
        </w:rPr>
        <w:t>安全测评工具软件运行可能需要的硬件平台（如笔记本电脑、PC、工作站等）和操作系统软件等由投标供应商推荐，经采购人确认后由投标供应商提供并在测评中使用。</w:t>
      </w:r>
    </w:p>
    <w:p>
      <w:pPr>
        <w:pStyle w:val="28"/>
        <w:numPr>
          <w:ilvl w:val="0"/>
          <w:numId w:val="3"/>
        </w:numPr>
        <w:ind w:firstLineChars="0"/>
        <w:rPr>
          <w:rFonts w:eastAsiaTheme="minorEastAsia"/>
          <w:sz w:val="24"/>
        </w:rPr>
      </w:pPr>
      <w:r>
        <w:rPr>
          <w:rFonts w:eastAsiaTheme="minorEastAsia"/>
          <w:sz w:val="24"/>
        </w:rPr>
        <w:t>安全测评需要的运行环境（如场地、网络环境等）由采购人提供，投标供应商应详细描述需要的运行环境的具体要求。</w:t>
      </w:r>
    </w:p>
    <w:p>
      <w:pPr>
        <w:spacing w:before="60" w:after="60"/>
        <w:rPr>
          <w:b/>
          <w:bCs/>
          <w:iCs/>
          <w:sz w:val="24"/>
        </w:rPr>
      </w:pPr>
      <w:r>
        <w:rPr>
          <w:b/>
          <w:bCs/>
          <w:iCs/>
          <w:sz w:val="24"/>
        </w:rPr>
        <w:t>（二）项目实施要求</w:t>
      </w:r>
    </w:p>
    <w:p>
      <w:pPr>
        <w:rPr>
          <w:rFonts w:eastAsiaTheme="minorEastAsia"/>
          <w:sz w:val="24"/>
        </w:rPr>
      </w:pPr>
      <w:r>
        <w:rPr>
          <w:rFonts w:eastAsiaTheme="minorEastAsia"/>
          <w:sz w:val="24"/>
        </w:rPr>
        <w:t>1.服务期</w:t>
      </w:r>
    </w:p>
    <w:p>
      <w:pPr>
        <w:ind w:firstLine="480" w:firstLineChars="200"/>
        <w:rPr>
          <w:rFonts w:eastAsiaTheme="minorEastAsia"/>
          <w:sz w:val="24"/>
        </w:rPr>
      </w:pPr>
      <w:r>
        <w:rPr>
          <w:rFonts w:eastAsiaTheme="minorEastAsia"/>
          <w:sz w:val="24"/>
        </w:rPr>
        <w:t>签订日期起3个月内完成服务。</w:t>
      </w:r>
    </w:p>
    <w:p>
      <w:pP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2.项目实施人员要求</w:t>
      </w:r>
    </w:p>
    <w:p>
      <w:pPr>
        <w:ind w:firstLine="480" w:firstLineChars="200"/>
        <w:rPr>
          <w:rFonts w:eastAsiaTheme="minorEastAsia"/>
          <w:color w:val="FF0000"/>
          <w:sz w:val="24"/>
        </w:rPr>
      </w:pPr>
      <w:r>
        <w:rPr>
          <w:rFonts w:hint="eastAsia" w:eastAsiaTheme="minorEastAsia"/>
          <w:color w:val="000000" w:themeColor="text1"/>
          <w:sz w:val="24"/>
          <w14:textFill>
            <w14:solidFill>
              <w14:schemeClr w14:val="tx1"/>
            </w14:solidFill>
          </w14:textFill>
        </w:rPr>
        <w:t>本次项目负责人必须具备高级测评师证书（报价时提供）</w:t>
      </w:r>
      <w:r>
        <w:rPr>
          <w:rFonts w:eastAsiaTheme="minorEastAsia"/>
          <w:color w:val="000000" w:themeColor="text1"/>
          <w:sz w:val="24"/>
          <w14:textFill>
            <w14:solidFill>
              <w14:schemeClr w14:val="tx1"/>
            </w14:solidFill>
          </w14:textFill>
        </w:rPr>
        <w:t>。</w:t>
      </w:r>
    </w:p>
    <w:p>
      <w:pPr>
        <w:rPr>
          <w:rFonts w:eastAsiaTheme="minorEastAsia"/>
          <w:sz w:val="24"/>
        </w:rPr>
      </w:pPr>
      <w:r>
        <w:rPr>
          <w:rFonts w:eastAsiaTheme="minorEastAsia"/>
          <w:sz w:val="24"/>
        </w:rPr>
        <w:t>3.</w:t>
      </w:r>
      <w:r>
        <w:rPr>
          <w:rFonts w:hint="eastAsia" w:eastAsiaTheme="minorEastAsia"/>
          <w:sz w:val="24"/>
        </w:rPr>
        <w:t>技</w:t>
      </w:r>
      <w:r>
        <w:rPr>
          <w:rFonts w:eastAsiaTheme="minorEastAsia"/>
          <w:sz w:val="24"/>
        </w:rPr>
        <w:t>术</w:t>
      </w:r>
      <w:r>
        <w:rPr>
          <w:rFonts w:hint="eastAsia" w:eastAsiaTheme="minorEastAsia"/>
          <w:sz w:val="24"/>
        </w:rPr>
        <w:t>支</w:t>
      </w:r>
      <w:r>
        <w:rPr>
          <w:rFonts w:eastAsiaTheme="minorEastAsia"/>
          <w:sz w:val="24"/>
        </w:rPr>
        <w:t>持</w:t>
      </w:r>
      <w:r>
        <w:rPr>
          <w:rFonts w:hint="eastAsia" w:eastAsiaTheme="minorEastAsia"/>
          <w:sz w:val="24"/>
        </w:rPr>
        <w:t>及计算机软著</w:t>
      </w:r>
      <w:r>
        <w:rPr>
          <w:rFonts w:eastAsiaTheme="minorEastAsia"/>
          <w:sz w:val="24"/>
        </w:rPr>
        <w:t>要求</w:t>
      </w:r>
    </w:p>
    <w:p>
      <w:pPr>
        <w:ind w:firstLine="480" w:firstLineChars="200"/>
        <w:rPr>
          <w:rFonts w:eastAsiaTheme="minorEastAsia"/>
          <w:sz w:val="24"/>
        </w:rPr>
      </w:pPr>
      <w:r>
        <w:rPr>
          <w:rFonts w:hint="eastAsia" w:eastAsiaTheme="minorEastAsia"/>
          <w:sz w:val="24"/>
        </w:rPr>
        <w:t>为保证被测评系统的安全，项目实施单位必须提供自主研发的漏洞通报及处理平台、高可信的网络安全自动化渗透测试平台、高效率自动化等保测评专用装置或技术进行测评，提供相关证明文件或测试报告。</w:t>
      </w:r>
    </w:p>
    <w:p>
      <w:pPr>
        <w:ind w:firstLine="480" w:firstLineChars="200"/>
        <w:rPr>
          <w:rFonts w:eastAsiaTheme="minorEastAsia"/>
          <w:sz w:val="24"/>
        </w:rPr>
      </w:pPr>
      <w:r>
        <w:rPr>
          <w:rFonts w:eastAsiaTheme="minorEastAsia"/>
          <w:sz w:val="24"/>
        </w:rPr>
        <w:t>投标供应商确定测评人员后，需提前与采购人的系统管理员取得联系，共同商定系统测评计划和方法。</w:t>
      </w:r>
    </w:p>
    <w:p>
      <w:pPr>
        <w:rPr>
          <w:b/>
          <w:sz w:val="24"/>
        </w:rPr>
      </w:pPr>
      <w:r>
        <w:rPr>
          <w:b/>
          <w:sz w:val="24"/>
        </w:rPr>
        <w:t>（三）付款方式</w:t>
      </w:r>
    </w:p>
    <w:p>
      <w:pPr>
        <w:ind w:firstLine="480" w:firstLineChars="200"/>
        <w:rPr>
          <w:sz w:val="24"/>
        </w:rPr>
      </w:pPr>
      <w:r>
        <w:rPr>
          <w:sz w:val="24"/>
        </w:rPr>
        <w:t>签</w:t>
      </w:r>
      <w:r>
        <w:rPr>
          <w:rFonts w:hint="eastAsia"/>
          <w:sz w:val="24"/>
        </w:rPr>
        <w:t>订</w:t>
      </w:r>
      <w:r>
        <w:rPr>
          <w:sz w:val="24"/>
        </w:rPr>
        <w:t>合同，经过项目终验后一次性支付合同总额的100%。</w:t>
      </w:r>
    </w:p>
    <w:p>
      <w:pPr>
        <w:rPr>
          <w:b/>
          <w:sz w:val="24"/>
        </w:rPr>
      </w:pPr>
      <w:r>
        <w:rPr>
          <w:b/>
          <w:sz w:val="24"/>
        </w:rPr>
        <w:t>二、询比价供应商须知</w:t>
      </w:r>
    </w:p>
    <w:p>
      <w:pPr>
        <w:rPr>
          <w:sz w:val="24"/>
        </w:rPr>
      </w:pPr>
      <w:r>
        <w:rPr>
          <w:i/>
          <w:sz w:val="24"/>
        </w:rPr>
        <w:t>（一）询比价供应商资格要求</w:t>
      </w:r>
      <w:r>
        <w:rPr>
          <w:sz w:val="24"/>
        </w:rPr>
        <w:t>：</w:t>
      </w:r>
    </w:p>
    <w:p>
      <w:pPr>
        <w:rPr>
          <w:sz w:val="24"/>
        </w:rPr>
      </w:pPr>
      <w:r>
        <w:rPr>
          <w:sz w:val="24"/>
        </w:rPr>
        <w:t>1、具有独立承担民事责任的能力；</w:t>
      </w:r>
    </w:p>
    <w:p>
      <w:pPr>
        <w:rPr>
          <w:sz w:val="24"/>
        </w:rPr>
      </w:pPr>
      <w:r>
        <w:rPr>
          <w:sz w:val="24"/>
        </w:rPr>
        <w:t>2、具有网络安全等级保护测评机构推荐证书</w:t>
      </w:r>
      <w:r>
        <w:rPr>
          <w:rFonts w:hint="eastAsia"/>
          <w:sz w:val="24"/>
        </w:rPr>
        <w:t>（报价时提供）</w:t>
      </w:r>
      <w:r>
        <w:rPr>
          <w:sz w:val="24"/>
        </w:rPr>
        <w:t>；</w:t>
      </w:r>
    </w:p>
    <w:p>
      <w:pPr>
        <w:rPr>
          <w:sz w:val="24"/>
        </w:rPr>
      </w:pPr>
      <w:r>
        <w:rPr>
          <w:sz w:val="24"/>
        </w:rPr>
        <w:t>3、在中华人民共和国境内注册，注册资金在100万元（含100万元）以上，具有独立法人资格。</w:t>
      </w:r>
    </w:p>
    <w:p>
      <w:pPr>
        <w:rPr>
          <w:sz w:val="24"/>
        </w:rPr>
      </w:pPr>
      <w:r>
        <w:rPr>
          <w:i/>
          <w:sz w:val="24"/>
        </w:rPr>
        <w:t>（二）询比价文件要求：</w:t>
      </w:r>
    </w:p>
    <w:p>
      <w:pPr>
        <w:ind w:firstLine="480" w:firstLineChars="200"/>
        <w:rPr>
          <w:sz w:val="24"/>
        </w:rPr>
      </w:pPr>
      <w:r>
        <w:rPr>
          <w:sz w:val="24"/>
        </w:rPr>
        <w:t>该项目为一个合同包，报价人须以人民币报价，并列出项目的单价及总价，报价应含税费、差率费及设备使用费等所有费用。</w:t>
      </w:r>
    </w:p>
    <w:p>
      <w:pPr>
        <w:rPr>
          <w:i/>
          <w:sz w:val="24"/>
        </w:rPr>
      </w:pPr>
      <w:r>
        <w:rPr>
          <w:i/>
          <w:sz w:val="24"/>
        </w:rPr>
        <w:t>（三）响应性文件递交</w:t>
      </w:r>
    </w:p>
    <w:p>
      <w:pPr>
        <w:rPr>
          <w:sz w:val="24"/>
        </w:rPr>
      </w:pPr>
      <w:r>
        <w:rPr>
          <w:sz w:val="24"/>
        </w:rPr>
        <w:t>1、报价文件组成：(均需加盖单位公章)</w:t>
      </w:r>
    </w:p>
    <w:p>
      <w:pPr>
        <w:rPr>
          <w:sz w:val="24"/>
        </w:rPr>
      </w:pPr>
      <w:r>
        <w:rPr>
          <w:rFonts w:hint="eastAsia" w:ascii="宋体" w:hAnsi="宋体" w:cs="宋体"/>
          <w:sz w:val="24"/>
        </w:rPr>
        <w:t>①</w:t>
      </w:r>
      <w:r>
        <w:rPr>
          <w:sz w:val="24"/>
        </w:rPr>
        <w:t>营业执照副本复印件。</w:t>
      </w:r>
    </w:p>
    <w:p>
      <w:pPr>
        <w:rPr>
          <w:sz w:val="24"/>
        </w:rPr>
      </w:pPr>
      <w:r>
        <w:rPr>
          <w:rFonts w:hint="eastAsia" w:ascii="宋体" w:hAnsi="宋体" w:cs="宋体"/>
          <w:sz w:val="24"/>
        </w:rPr>
        <w:t>②</w:t>
      </w:r>
      <w:r>
        <w:rPr>
          <w:sz w:val="24"/>
        </w:rPr>
        <w:t>税务登记证副本复印件；</w:t>
      </w:r>
    </w:p>
    <w:p>
      <w:pPr>
        <w:rPr>
          <w:sz w:val="24"/>
        </w:rPr>
      </w:pPr>
      <w:r>
        <w:rPr>
          <w:rFonts w:hint="eastAsia" w:ascii="宋体" w:hAnsi="宋体" w:cs="宋体"/>
          <w:sz w:val="24"/>
        </w:rPr>
        <w:t>③</w:t>
      </w:r>
      <w:r>
        <w:rPr>
          <w:sz w:val="24"/>
        </w:rPr>
        <w:t>组织机构代码证复印件；</w:t>
      </w:r>
    </w:p>
    <w:p>
      <w:pPr>
        <w:rPr>
          <w:sz w:val="24"/>
        </w:rPr>
      </w:pPr>
      <w:r>
        <w:rPr>
          <w:rFonts w:hint="eastAsia" w:ascii="宋体" w:hAnsi="宋体" w:cs="宋体"/>
          <w:sz w:val="24"/>
        </w:rPr>
        <w:t>④</w:t>
      </w:r>
      <w:r>
        <w:rPr>
          <w:sz w:val="24"/>
        </w:rPr>
        <w:t>法定代表人授权委托书及被委托人身份证复印件；</w:t>
      </w:r>
    </w:p>
    <w:p>
      <w:pPr>
        <w:rPr>
          <w:sz w:val="24"/>
        </w:rPr>
      </w:pPr>
      <w:r>
        <w:rPr>
          <w:rFonts w:hint="eastAsia" w:ascii="宋体" w:hAnsi="宋体" w:cs="宋体"/>
          <w:sz w:val="24"/>
        </w:rPr>
        <w:t>⑤</w:t>
      </w:r>
      <w:r>
        <w:rPr>
          <w:sz w:val="24"/>
        </w:rPr>
        <w:t>报价</w:t>
      </w:r>
      <w:r>
        <w:rPr>
          <w:rFonts w:hint="eastAsia"/>
          <w:sz w:val="24"/>
        </w:rPr>
        <w:t>单</w:t>
      </w:r>
      <w:r>
        <w:rPr>
          <w:sz w:val="24"/>
        </w:rPr>
        <w:t>；</w:t>
      </w:r>
    </w:p>
    <w:p>
      <w:pPr>
        <w:rPr>
          <w:sz w:val="24"/>
        </w:rPr>
      </w:pPr>
      <w:r>
        <w:rPr>
          <w:sz w:val="24"/>
        </w:rPr>
        <w:t>2、被询比价供应商报价文件须密封装订，并在密封袋上注明所投项目，请将报价文件密封后于202</w:t>
      </w:r>
      <w:r>
        <w:rPr>
          <w:rFonts w:hint="eastAsia"/>
          <w:sz w:val="24"/>
        </w:rPr>
        <w:t>3</w:t>
      </w:r>
      <w:r>
        <w:rPr>
          <w:sz w:val="24"/>
        </w:rPr>
        <w:t>年</w:t>
      </w:r>
      <w:r>
        <w:rPr>
          <w:rFonts w:hint="eastAsia"/>
          <w:sz w:val="24"/>
        </w:rPr>
        <w:t>9</w:t>
      </w:r>
      <w:r>
        <w:rPr>
          <w:sz w:val="24"/>
        </w:rPr>
        <w:t>月</w:t>
      </w:r>
      <w:r>
        <w:rPr>
          <w:rFonts w:hint="eastAsia"/>
          <w:sz w:val="24"/>
        </w:rPr>
        <w:t>2</w:t>
      </w:r>
      <w:r>
        <w:rPr>
          <w:rFonts w:hint="eastAsia"/>
          <w:sz w:val="24"/>
          <w:lang w:val="en-US" w:eastAsia="zh-CN"/>
        </w:rPr>
        <w:t>7</w:t>
      </w:r>
      <w:r>
        <w:rPr>
          <w:sz w:val="24"/>
        </w:rPr>
        <w:t>日13时前递交或邮寄至浙江水利水电学院；在此时间之后送达的报价文件恕不接受。202</w:t>
      </w:r>
      <w:r>
        <w:rPr>
          <w:rFonts w:hint="eastAsia"/>
          <w:sz w:val="24"/>
        </w:rPr>
        <w:t>3</w:t>
      </w:r>
      <w:r>
        <w:rPr>
          <w:sz w:val="24"/>
        </w:rPr>
        <w:t>年</w:t>
      </w:r>
      <w:r>
        <w:rPr>
          <w:rFonts w:hint="eastAsia"/>
          <w:sz w:val="24"/>
        </w:rPr>
        <w:t>9</w:t>
      </w:r>
      <w:r>
        <w:rPr>
          <w:sz w:val="24"/>
        </w:rPr>
        <w:t>月</w:t>
      </w:r>
      <w:r>
        <w:rPr>
          <w:rFonts w:hint="eastAsia"/>
          <w:sz w:val="24"/>
        </w:rPr>
        <w:t>2</w:t>
      </w:r>
      <w:r>
        <w:rPr>
          <w:rFonts w:hint="eastAsia"/>
          <w:sz w:val="24"/>
          <w:lang w:val="en-US" w:eastAsia="zh-CN"/>
        </w:rPr>
        <w:t>7</w:t>
      </w:r>
      <w:r>
        <w:rPr>
          <w:sz w:val="24"/>
        </w:rPr>
        <w:t>日14时开标。</w:t>
      </w:r>
    </w:p>
    <w:p>
      <w:pPr>
        <w:rPr>
          <w:sz w:val="24"/>
        </w:rPr>
      </w:pPr>
      <w:r>
        <w:rPr>
          <w:sz w:val="24"/>
        </w:rPr>
        <w:t>3、供应商报价文件送达地址: 浙江省杭州市江干区学林街583号</w:t>
      </w:r>
    </w:p>
    <w:p>
      <w:pPr>
        <w:rPr>
          <w:sz w:val="24"/>
        </w:rPr>
      </w:pPr>
      <w:r>
        <w:rPr>
          <w:sz w:val="24"/>
        </w:rPr>
        <w:t>邮编：  310018</w:t>
      </w:r>
      <w:bookmarkStart w:id="0" w:name="_GoBack"/>
      <w:bookmarkEnd w:id="0"/>
    </w:p>
    <w:p>
      <w:pPr>
        <w:rPr>
          <w:sz w:val="24"/>
        </w:rPr>
      </w:pPr>
      <w:r>
        <w:rPr>
          <w:sz w:val="24"/>
        </w:rPr>
        <w:t>联系人：</w:t>
      </w:r>
      <w:r>
        <w:rPr>
          <w:rFonts w:hint="eastAsia"/>
          <w:sz w:val="24"/>
        </w:rPr>
        <w:t>张晓青</w:t>
      </w:r>
    </w:p>
    <w:p>
      <w:pPr>
        <w:rPr>
          <w:sz w:val="24"/>
        </w:rPr>
      </w:pPr>
      <w:r>
        <w:rPr>
          <w:sz w:val="24"/>
        </w:rPr>
        <w:t xml:space="preserve">联系电话： 0571-86929097   </w:t>
      </w:r>
    </w:p>
    <w:p>
      <w:pPr>
        <w:rPr>
          <w:b/>
          <w:sz w:val="24"/>
        </w:rPr>
      </w:pPr>
      <w:r>
        <w:rPr>
          <w:b/>
          <w:sz w:val="24"/>
        </w:rPr>
        <w:t>三、成交原则</w:t>
      </w:r>
    </w:p>
    <w:p>
      <w:pPr>
        <w:ind w:firstLine="480" w:firstLineChars="200"/>
        <w:rPr>
          <w:sz w:val="24"/>
        </w:rPr>
      </w:pPr>
      <w:r>
        <w:rPr>
          <w:sz w:val="24"/>
        </w:rPr>
        <w:t>符合采购需求，技术规格相同，质量及售后服务相当的情况下，在不超过最高限价的金额内，确定报价总价最低者的供应商为成交方。</w:t>
      </w:r>
    </w:p>
    <w:p>
      <w:pPr>
        <w:rPr>
          <w:b/>
          <w:sz w:val="24"/>
        </w:rPr>
      </w:pPr>
      <w:r>
        <w:rPr>
          <w:b/>
          <w:sz w:val="24"/>
        </w:rPr>
        <w:t>四、合同谈判与签订</w:t>
      </w:r>
    </w:p>
    <w:p>
      <w:pPr>
        <w:rPr>
          <w:sz w:val="24"/>
        </w:rPr>
      </w:pPr>
      <w:r>
        <w:rPr>
          <w:sz w:val="24"/>
        </w:rPr>
        <w:t>1、成交结果通知供应商后15日内与采购单位签订服务合同。</w:t>
      </w:r>
    </w:p>
    <w:p>
      <w:pPr>
        <w:rPr>
          <w:sz w:val="24"/>
        </w:rPr>
      </w:pPr>
      <w:r>
        <w:rPr>
          <w:sz w:val="24"/>
        </w:rPr>
        <w:t>2、成交人应在服务合同签订的服务期内向采购单位服务；采购单位根据成交方的报价文件、合同进行验收。</w:t>
      </w:r>
    </w:p>
    <w:p>
      <w:pPr>
        <w:rPr>
          <w:b/>
          <w:sz w:val="24"/>
        </w:rPr>
      </w:pPr>
      <w:r>
        <w:rPr>
          <w:b/>
          <w:sz w:val="24"/>
        </w:rPr>
        <w:t>五、联系方式</w:t>
      </w:r>
    </w:p>
    <w:p>
      <w:pPr>
        <w:rPr>
          <w:sz w:val="24"/>
        </w:rPr>
      </w:pPr>
    </w:p>
    <w:p>
      <w:pPr>
        <w:rPr>
          <w:sz w:val="24"/>
        </w:rPr>
      </w:pPr>
      <w:r>
        <w:rPr>
          <w:sz w:val="24"/>
        </w:rPr>
        <w:t xml:space="preserve">联系人： </w:t>
      </w:r>
      <w:r>
        <w:rPr>
          <w:rFonts w:hint="eastAsia"/>
          <w:sz w:val="24"/>
        </w:rPr>
        <w:t>张晓青</w:t>
      </w:r>
      <w:r>
        <w:rPr>
          <w:sz w:val="24"/>
        </w:rPr>
        <w:t xml:space="preserve">            电话：0571-86929097  </w:t>
      </w:r>
    </w:p>
    <w:p>
      <w:pPr>
        <w:ind w:firstLine="480" w:firstLineChars="200"/>
        <w:rPr>
          <w:rFonts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E45E3"/>
    <w:multiLevelType w:val="multilevel"/>
    <w:tmpl w:val="06BE45E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A83459"/>
    <w:multiLevelType w:val="multilevel"/>
    <w:tmpl w:val="39A834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B81AEF"/>
    <w:multiLevelType w:val="multilevel"/>
    <w:tmpl w:val="52B81AE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NmY5NDM2ZTgwMjMxNjc3OTE5ZmM5NjlmMTE2YWMifQ=="/>
  </w:docVars>
  <w:rsids>
    <w:rsidRoot w:val="00735554"/>
    <w:rsid w:val="00167458"/>
    <w:rsid w:val="00194C98"/>
    <w:rsid w:val="001B12F3"/>
    <w:rsid w:val="0024773D"/>
    <w:rsid w:val="00261D5F"/>
    <w:rsid w:val="00262055"/>
    <w:rsid w:val="002719B6"/>
    <w:rsid w:val="002A2691"/>
    <w:rsid w:val="0030568E"/>
    <w:rsid w:val="0035512D"/>
    <w:rsid w:val="003702FB"/>
    <w:rsid w:val="003A5321"/>
    <w:rsid w:val="003B4199"/>
    <w:rsid w:val="003C0A23"/>
    <w:rsid w:val="003C74C1"/>
    <w:rsid w:val="0043011E"/>
    <w:rsid w:val="00435265"/>
    <w:rsid w:val="00502B1D"/>
    <w:rsid w:val="00504E3D"/>
    <w:rsid w:val="00561231"/>
    <w:rsid w:val="0056265A"/>
    <w:rsid w:val="005A6AFA"/>
    <w:rsid w:val="005B6388"/>
    <w:rsid w:val="00620667"/>
    <w:rsid w:val="006535A0"/>
    <w:rsid w:val="00654E0E"/>
    <w:rsid w:val="00660AE8"/>
    <w:rsid w:val="0068436D"/>
    <w:rsid w:val="006C7E0A"/>
    <w:rsid w:val="00735554"/>
    <w:rsid w:val="00740994"/>
    <w:rsid w:val="00783E1A"/>
    <w:rsid w:val="007C3968"/>
    <w:rsid w:val="007D7374"/>
    <w:rsid w:val="0081612A"/>
    <w:rsid w:val="00836279"/>
    <w:rsid w:val="0085239B"/>
    <w:rsid w:val="00867B5E"/>
    <w:rsid w:val="00870E04"/>
    <w:rsid w:val="0087339A"/>
    <w:rsid w:val="00896114"/>
    <w:rsid w:val="008A7A3C"/>
    <w:rsid w:val="008A7B4E"/>
    <w:rsid w:val="008C7AF3"/>
    <w:rsid w:val="008F768A"/>
    <w:rsid w:val="0090381C"/>
    <w:rsid w:val="00944BC7"/>
    <w:rsid w:val="00951AEF"/>
    <w:rsid w:val="00990C0B"/>
    <w:rsid w:val="00995608"/>
    <w:rsid w:val="009C4F3A"/>
    <w:rsid w:val="009C6717"/>
    <w:rsid w:val="009C7A26"/>
    <w:rsid w:val="009D4461"/>
    <w:rsid w:val="009E0315"/>
    <w:rsid w:val="00A03CDA"/>
    <w:rsid w:val="00A07F86"/>
    <w:rsid w:val="00A168BD"/>
    <w:rsid w:val="00AD14E0"/>
    <w:rsid w:val="00B151F9"/>
    <w:rsid w:val="00B44767"/>
    <w:rsid w:val="00B705EB"/>
    <w:rsid w:val="00BE6995"/>
    <w:rsid w:val="00BF5EB5"/>
    <w:rsid w:val="00C02336"/>
    <w:rsid w:val="00C05ACD"/>
    <w:rsid w:val="00C72463"/>
    <w:rsid w:val="00C85846"/>
    <w:rsid w:val="00C8764F"/>
    <w:rsid w:val="00CC7A59"/>
    <w:rsid w:val="00CE7C3F"/>
    <w:rsid w:val="00D367BD"/>
    <w:rsid w:val="00D42166"/>
    <w:rsid w:val="00D43D71"/>
    <w:rsid w:val="00DE59DB"/>
    <w:rsid w:val="00E15A73"/>
    <w:rsid w:val="00E46313"/>
    <w:rsid w:val="00E4683B"/>
    <w:rsid w:val="00E80F00"/>
    <w:rsid w:val="00E8291D"/>
    <w:rsid w:val="00EB511C"/>
    <w:rsid w:val="00F5181E"/>
    <w:rsid w:val="00F55320"/>
    <w:rsid w:val="00FE7E06"/>
    <w:rsid w:val="00FF45D8"/>
    <w:rsid w:val="0FE73EE9"/>
    <w:rsid w:val="13143247"/>
    <w:rsid w:val="17CF1E32"/>
    <w:rsid w:val="1B9E3928"/>
    <w:rsid w:val="22196184"/>
    <w:rsid w:val="26202C71"/>
    <w:rsid w:val="2A815193"/>
    <w:rsid w:val="2B577D1D"/>
    <w:rsid w:val="2C1E174D"/>
    <w:rsid w:val="2E19750B"/>
    <w:rsid w:val="30E12562"/>
    <w:rsid w:val="366E22BF"/>
    <w:rsid w:val="3AB91021"/>
    <w:rsid w:val="3CC258D7"/>
    <w:rsid w:val="43EC6981"/>
    <w:rsid w:val="4B372023"/>
    <w:rsid w:val="4DE30876"/>
    <w:rsid w:val="4E161403"/>
    <w:rsid w:val="510C3737"/>
    <w:rsid w:val="556C2493"/>
    <w:rsid w:val="56BD022A"/>
    <w:rsid w:val="575B631B"/>
    <w:rsid w:val="6BEA4A22"/>
    <w:rsid w:val="6D964B2D"/>
    <w:rsid w:val="6E8757F0"/>
    <w:rsid w:val="6EC05510"/>
    <w:rsid w:val="6FDB4330"/>
    <w:rsid w:val="76320737"/>
    <w:rsid w:val="76706B58"/>
    <w:rsid w:val="7C7E6484"/>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260"/>
      <w:jc w:val="left"/>
    </w:pPr>
    <w:rPr>
      <w:rFonts w:asciiTheme="minorHAnsi" w:hAnsiTheme="minorHAnsi"/>
      <w:sz w:val="20"/>
      <w:szCs w:val="20"/>
    </w:rPr>
  </w:style>
  <w:style w:type="paragraph" w:styleId="7">
    <w:name w:val="annotation text"/>
    <w:basedOn w:val="1"/>
    <w:link w:val="22"/>
    <w:qFormat/>
    <w:uiPriority w:val="0"/>
    <w:pPr>
      <w:jc w:val="left"/>
    </w:pPr>
  </w:style>
  <w:style w:type="paragraph" w:styleId="8">
    <w:name w:val="toc 5"/>
    <w:basedOn w:val="1"/>
    <w:next w:val="1"/>
    <w:semiHidden/>
    <w:unhideWhenUsed/>
    <w:qFormat/>
    <w:uiPriority w:val="39"/>
    <w:pPr>
      <w:ind w:left="840"/>
      <w:jc w:val="left"/>
    </w:pPr>
    <w:rPr>
      <w:rFonts w:asciiTheme="minorHAnsi" w:hAnsiTheme="minorHAnsi"/>
      <w:sz w:val="20"/>
      <w:szCs w:val="20"/>
    </w:rPr>
  </w:style>
  <w:style w:type="paragraph" w:styleId="9">
    <w:name w:val="toc 3"/>
    <w:basedOn w:val="1"/>
    <w:next w:val="1"/>
    <w:unhideWhenUsed/>
    <w:qFormat/>
    <w:uiPriority w:val="39"/>
    <w:pPr>
      <w:ind w:left="420"/>
      <w:jc w:val="left"/>
    </w:pPr>
    <w:rPr>
      <w:rFonts w:asciiTheme="minorHAnsi" w:hAnsiTheme="minorHAnsi"/>
      <w:sz w:val="20"/>
      <w:szCs w:val="20"/>
    </w:rPr>
  </w:style>
  <w:style w:type="paragraph" w:styleId="10">
    <w:name w:val="toc 8"/>
    <w:basedOn w:val="1"/>
    <w:next w:val="1"/>
    <w:semiHidden/>
    <w:unhideWhenUsed/>
    <w:qFormat/>
    <w:uiPriority w:val="39"/>
    <w:pPr>
      <w:ind w:left="1470"/>
      <w:jc w:val="left"/>
    </w:pPr>
    <w:rPr>
      <w:rFonts w:asciiTheme="minorHAnsi" w:hAnsiTheme="minorHAnsi"/>
      <w:sz w:val="20"/>
      <w:szCs w:val="20"/>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pPr>
      <w:spacing w:before="120"/>
      <w:jc w:val="left"/>
    </w:pPr>
    <w:rPr>
      <w:rFonts w:asciiTheme="minorHAnsi" w:hAnsiTheme="minorHAnsi"/>
      <w:b/>
      <w:bCs/>
      <w:i/>
      <w:iCs/>
      <w:sz w:val="24"/>
    </w:rPr>
  </w:style>
  <w:style w:type="paragraph" w:styleId="14">
    <w:name w:val="toc 4"/>
    <w:basedOn w:val="1"/>
    <w:next w:val="1"/>
    <w:semiHidden/>
    <w:unhideWhenUsed/>
    <w:qFormat/>
    <w:uiPriority w:val="39"/>
    <w:pPr>
      <w:ind w:left="630"/>
      <w:jc w:val="left"/>
    </w:pPr>
    <w:rPr>
      <w:rFonts w:asciiTheme="minorHAnsi" w:hAnsiTheme="minorHAnsi"/>
      <w:sz w:val="20"/>
      <w:szCs w:val="20"/>
    </w:rPr>
  </w:style>
  <w:style w:type="paragraph" w:styleId="15">
    <w:name w:val="toc 6"/>
    <w:basedOn w:val="1"/>
    <w:next w:val="1"/>
    <w:semiHidden/>
    <w:unhideWhenUsed/>
    <w:qFormat/>
    <w:uiPriority w:val="39"/>
    <w:pPr>
      <w:ind w:left="1050"/>
      <w:jc w:val="left"/>
    </w:pPr>
    <w:rPr>
      <w:rFonts w:asciiTheme="minorHAnsi" w:hAnsiTheme="minorHAnsi"/>
      <w:sz w:val="20"/>
      <w:szCs w:val="20"/>
    </w:rPr>
  </w:style>
  <w:style w:type="paragraph" w:styleId="16">
    <w:name w:val="toc 2"/>
    <w:basedOn w:val="1"/>
    <w:next w:val="1"/>
    <w:semiHidden/>
    <w:unhideWhenUsed/>
    <w:qFormat/>
    <w:uiPriority w:val="39"/>
    <w:pPr>
      <w:spacing w:before="120"/>
      <w:ind w:left="210"/>
      <w:jc w:val="left"/>
    </w:pPr>
    <w:rPr>
      <w:rFonts w:asciiTheme="minorHAnsi" w:hAnsiTheme="minorHAnsi"/>
      <w:b/>
      <w:bCs/>
      <w:sz w:val="22"/>
      <w:szCs w:val="22"/>
    </w:rPr>
  </w:style>
  <w:style w:type="paragraph" w:styleId="17">
    <w:name w:val="toc 9"/>
    <w:basedOn w:val="1"/>
    <w:next w:val="1"/>
    <w:semiHidden/>
    <w:unhideWhenUsed/>
    <w:qFormat/>
    <w:uiPriority w:val="39"/>
    <w:pPr>
      <w:ind w:left="1680"/>
      <w:jc w:val="left"/>
    </w:pPr>
    <w:rPr>
      <w:rFonts w:asciiTheme="minorHAnsi" w:hAnsiTheme="minorHAnsi"/>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customStyle="1" w:styleId="22">
    <w:name w:val="批注文字 字符"/>
    <w:basedOn w:val="20"/>
    <w:link w:val="7"/>
    <w:qFormat/>
    <w:uiPriority w:val="0"/>
    <w:rPr>
      <w:rFonts w:ascii="Times New Roman" w:hAnsi="Times New Roman" w:eastAsia="宋体" w:cs="Times New Roman"/>
      <w:szCs w:val="24"/>
    </w:rPr>
  </w:style>
  <w:style w:type="character" w:customStyle="1" w:styleId="23">
    <w:name w:val="标题 2 字符"/>
    <w:basedOn w:val="20"/>
    <w:link w:val="3"/>
    <w:qFormat/>
    <w:uiPriority w:val="9"/>
    <w:rPr>
      <w:rFonts w:asciiTheme="majorHAnsi" w:hAnsiTheme="majorHAnsi" w:eastAsiaTheme="majorEastAsia" w:cstheme="majorBidi"/>
      <w:b/>
      <w:bCs/>
      <w:sz w:val="32"/>
      <w:szCs w:val="32"/>
    </w:rPr>
  </w:style>
  <w:style w:type="character" w:customStyle="1" w:styleId="24">
    <w:name w:val="标题 3 字符"/>
    <w:basedOn w:val="20"/>
    <w:link w:val="4"/>
    <w:qFormat/>
    <w:uiPriority w:val="9"/>
    <w:rPr>
      <w:rFonts w:ascii="Times New Roman" w:hAnsi="Times New Roman" w:eastAsia="宋体" w:cs="Times New Roman"/>
      <w:b/>
      <w:bCs/>
      <w:sz w:val="32"/>
      <w:szCs w:val="32"/>
    </w:rPr>
  </w:style>
  <w:style w:type="character" w:customStyle="1" w:styleId="25">
    <w:name w:val="标题 4 字符"/>
    <w:basedOn w:val="20"/>
    <w:link w:val="5"/>
    <w:qFormat/>
    <w:uiPriority w:val="9"/>
    <w:rPr>
      <w:rFonts w:asciiTheme="majorHAnsi" w:hAnsiTheme="majorHAnsi" w:eastAsiaTheme="majorEastAsia" w:cstheme="majorBidi"/>
      <w:b/>
      <w:bCs/>
      <w:sz w:val="28"/>
      <w:szCs w:val="28"/>
    </w:rPr>
  </w:style>
  <w:style w:type="character" w:customStyle="1" w:styleId="26">
    <w:name w:val="页眉 字符"/>
    <w:basedOn w:val="20"/>
    <w:link w:val="12"/>
    <w:qFormat/>
    <w:uiPriority w:val="99"/>
    <w:rPr>
      <w:rFonts w:ascii="Times New Roman" w:hAnsi="Times New Roman" w:eastAsia="宋体" w:cs="Times New Roman"/>
      <w:sz w:val="18"/>
      <w:szCs w:val="18"/>
    </w:rPr>
  </w:style>
  <w:style w:type="character" w:customStyle="1" w:styleId="27">
    <w:name w:val="页脚 字符"/>
    <w:basedOn w:val="20"/>
    <w:link w:val="11"/>
    <w:qFormat/>
    <w:uiPriority w:val="99"/>
    <w:rPr>
      <w:rFonts w:ascii="Times New Roman" w:hAnsi="Times New Roman" w:eastAsia="宋体" w:cs="Times New Roman"/>
      <w:sz w:val="18"/>
      <w:szCs w:val="18"/>
    </w:rPr>
  </w:style>
  <w:style w:type="paragraph" w:styleId="28">
    <w:name w:val="List Paragraph"/>
    <w:basedOn w:val="1"/>
    <w:qFormat/>
    <w:uiPriority w:val="99"/>
    <w:pPr>
      <w:ind w:firstLine="420" w:firstLineChars="200"/>
    </w:pPr>
  </w:style>
  <w:style w:type="character" w:customStyle="1" w:styleId="29">
    <w:name w:val="标题 1 字符"/>
    <w:basedOn w:val="20"/>
    <w:link w:val="2"/>
    <w:qFormat/>
    <w:uiPriority w:val="9"/>
    <w:rPr>
      <w:rFonts w:ascii="Times New Roman" w:hAnsi="Times New Roman" w:eastAsia="宋体" w:cs="Times New Roman"/>
      <w:b/>
      <w:bCs/>
      <w:kern w:val="44"/>
      <w:sz w:val="44"/>
      <w:szCs w:val="44"/>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D9F5-7E5D-BD42-AC12-704296403D6F}">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Pages>
  <Words>2353</Words>
  <Characters>2452</Characters>
  <Lines>18</Lines>
  <Paragraphs>5</Paragraphs>
  <TotalTime>35</TotalTime>
  <ScaleCrop>false</ScaleCrop>
  <LinksUpToDate>false</LinksUpToDate>
  <CharactersWithSpaces>2479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2023-09-13T05:56:00Z</dcterms:created>
  <dc:creator>李蕾</dc:creator>
  <cp:lastModifiedBy>青</cp:lastModifiedBy>
  <dcterms:modified xsi:type="dcterms:W3CDTF">2023-09-25T02:05:24Z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EA64FEC1CB25413D95A6DCB461FD9C68</vt:lpwstr>
  </property>
</Properties>
</file>