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jc w:val="center"/>
        <w:rPr>
          <w:rFonts w:ascii="仿宋" w:hAnsi="仿宋" w:eastAsia="仿宋" w:cs="宋体"/>
          <w:sz w:val="44"/>
          <w:szCs w:val="44"/>
        </w:rPr>
      </w:pPr>
      <w:r>
        <w:rPr>
          <w:rFonts w:hint="eastAsia" w:ascii="仿宋" w:hAnsi="仿宋" w:eastAsia="仿宋" w:cs="宋体"/>
          <w:sz w:val="44"/>
          <w:szCs w:val="44"/>
        </w:rPr>
        <w:t>2024年等级保护测评服务项目需求</w:t>
      </w:r>
    </w:p>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一、投标人资格要求：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1、符合《中华人民共和国政府采购法》第二十二条规定的供货商资格要求。</w:t>
      </w:r>
    </w:p>
    <w:p>
      <w:pPr>
        <w:pStyle w:val="11"/>
        <w:adjustRightInd w:val="0"/>
        <w:snapToGrid w:val="0"/>
        <w:ind w:left="-6" w:leftChars="-3" w:firstLine="561"/>
        <w:rPr>
          <w:rFonts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、具有公安部第三研究所颁布的“网络安全等级测评与检测评估机构服务认证证书”资格。</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二、服务内容</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依据《中华人民共和国网络安全法》《中华人民共和国计算机信息系统安全保护条例》（国务院147号令）和《信息安全等级保护管理办法》等相关文件及标准要求，浙江水利水电学院拟对部分信息系统开展等保测评工作，请各供应商根据各自情况对以下信息系统进行报价，总价最高限价为</w:t>
      </w:r>
      <w:r>
        <w:rPr>
          <w:rFonts w:hint="eastAsia" w:ascii="仿宋" w:hAnsi="仿宋" w:eastAsia="仿宋" w:cs="宋体"/>
          <w:color w:val="000000"/>
          <w:sz w:val="30"/>
          <w:szCs w:val="30"/>
          <w:lang w:val="en-US" w:eastAsia="zh-CN"/>
        </w:rPr>
        <w:t>6.4</w:t>
      </w:r>
      <w:r>
        <w:rPr>
          <w:rFonts w:hint="eastAsia" w:ascii="仿宋" w:hAnsi="仿宋" w:eastAsia="仿宋" w:cs="宋体"/>
          <w:color w:val="000000"/>
          <w:sz w:val="30"/>
          <w:szCs w:val="30"/>
        </w:rPr>
        <w:t>万元。本次等级测评的对象为以下信息系统，具体视实施过程中招标方需求明确：</w:t>
      </w:r>
    </w:p>
    <w:tbl>
      <w:tblPr>
        <w:tblStyle w:val="5"/>
        <w:tblW w:w="0" w:type="auto"/>
        <w:jc w:val="center"/>
        <w:tblLayout w:type="fixed"/>
        <w:tblCellMar>
          <w:top w:w="0" w:type="dxa"/>
          <w:left w:w="108" w:type="dxa"/>
          <w:bottom w:w="0" w:type="dxa"/>
          <w:right w:w="108" w:type="dxa"/>
        </w:tblCellMar>
      </w:tblPr>
      <w:tblGrid>
        <w:gridCol w:w="920"/>
        <w:gridCol w:w="2476"/>
        <w:gridCol w:w="2085"/>
        <w:gridCol w:w="2250"/>
        <w:gridCol w:w="2370"/>
        <w:gridCol w:w="2370"/>
      </w:tblGrid>
      <w:tr>
        <w:tblPrEx>
          <w:tblCellMar>
            <w:top w:w="0" w:type="dxa"/>
            <w:left w:w="108" w:type="dxa"/>
            <w:bottom w:w="0" w:type="dxa"/>
            <w:right w:w="108" w:type="dxa"/>
          </w:tblCellMar>
        </w:tblPrEx>
        <w:trPr>
          <w:trHeight w:val="255" w:hRule="atLeast"/>
          <w:jc w:val="center"/>
        </w:trPr>
        <w:tc>
          <w:tcPr>
            <w:tcW w:w="920" w:type="dxa"/>
            <w:tcBorders>
              <w:top w:val="double" w:color="000000" w:sz="2" w:space="0"/>
              <w:left w:val="double" w:color="000000" w:sz="2" w:space="0"/>
              <w:bottom w:val="double" w:color="000000" w:sz="2" w:space="0"/>
              <w:right w:val="double" w:color="000000" w:sz="2" w:space="0"/>
            </w:tcBorders>
          </w:tcPr>
          <w:p>
            <w:pPr>
              <w:pStyle w:val="11"/>
              <w:adjustRightInd w:val="0"/>
              <w:snapToGrid w:val="0"/>
              <w:ind w:left="-6" w:leftChars="-3"/>
              <w:rPr>
                <w:rFonts w:ascii="仿宋" w:hAnsi="仿宋" w:eastAsia="仿宋"/>
                <w:b/>
                <w:bCs/>
                <w:sz w:val="30"/>
                <w:szCs w:val="30"/>
              </w:rPr>
            </w:pPr>
            <w:r>
              <w:rPr>
                <w:rFonts w:hint="eastAsia" w:ascii="仿宋" w:hAnsi="仿宋" w:eastAsia="仿宋" w:cs="宋体"/>
                <w:b/>
                <w:bCs/>
                <w:sz w:val="30"/>
                <w:szCs w:val="30"/>
              </w:rPr>
              <w:t>序号</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rPr>
                <w:rFonts w:ascii="仿宋" w:hAnsi="仿宋" w:eastAsia="仿宋"/>
                <w:b/>
                <w:bCs/>
                <w:sz w:val="30"/>
                <w:szCs w:val="30"/>
              </w:rPr>
            </w:pPr>
            <w:r>
              <w:rPr>
                <w:rFonts w:hint="eastAsia" w:ascii="仿宋" w:hAnsi="仿宋" w:eastAsia="仿宋" w:cs="宋体"/>
                <w:b/>
                <w:bCs/>
                <w:sz w:val="30"/>
                <w:szCs w:val="30"/>
              </w:rPr>
              <w:t>系统名称</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采购项目</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firstLine="151" w:firstLineChars="5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系统等级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数量（套）</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预算金额（万元）</w:t>
            </w:r>
          </w:p>
        </w:tc>
      </w:tr>
      <w:tr>
        <w:tblPrEx>
          <w:tblCellMar>
            <w:top w:w="0" w:type="dxa"/>
            <w:left w:w="108" w:type="dxa"/>
            <w:bottom w:w="0" w:type="dxa"/>
            <w:right w:w="108" w:type="dxa"/>
          </w:tblCellMar>
        </w:tblPrEx>
        <w:trPr>
          <w:trHeight w:val="480" w:hRule="atLeast"/>
          <w:jc w:val="center"/>
        </w:trPr>
        <w:tc>
          <w:tcPr>
            <w:tcW w:w="920" w:type="dxa"/>
            <w:tcBorders>
              <w:top w:val="double" w:color="000000" w:sz="2" w:space="0"/>
              <w:left w:val="double" w:color="000000" w:sz="2" w:space="0"/>
              <w:bottom w:val="double" w:color="000000" w:sz="2" w:space="0"/>
              <w:right w:val="double" w:color="000000" w:sz="2" w:space="0"/>
            </w:tcBorders>
            <w:vAlign w:val="center"/>
          </w:tcPr>
          <w:p>
            <w:pPr>
              <w:pStyle w:val="11"/>
              <w:adjustRightInd w:val="0"/>
              <w:snapToGrid w:val="0"/>
              <w:ind w:left="-6" w:leftChars="-3"/>
              <w:jc w:val="center"/>
              <w:rPr>
                <w:rFonts w:ascii="仿宋" w:hAnsi="仿宋" w:eastAsia="仿宋"/>
                <w:b/>
                <w:sz w:val="30"/>
                <w:szCs w:val="30"/>
              </w:rPr>
            </w:pPr>
            <w:r>
              <w:rPr>
                <w:rFonts w:hint="eastAsia" w:ascii="仿宋" w:hAnsi="仿宋" w:eastAsia="仿宋"/>
                <w:b/>
                <w:sz w:val="30"/>
                <w:szCs w:val="30"/>
              </w:rPr>
              <w:t>1</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jc w:val="center"/>
              <w:rPr>
                <w:rFonts w:ascii="仿宋" w:hAnsi="仿宋" w:eastAsia="仿宋" w:cs="宋体"/>
                <w:color w:val="000000"/>
                <w:sz w:val="30"/>
                <w:szCs w:val="30"/>
              </w:rPr>
            </w:pPr>
            <w:r>
              <w:rPr>
                <w:rFonts w:hint="eastAsia" w:ascii="仿宋" w:hAnsi="仿宋" w:eastAsia="仿宋" w:cs="宋体"/>
                <w:color w:val="000000"/>
                <w:sz w:val="30"/>
                <w:szCs w:val="30"/>
                <w:lang w:val="en-US" w:eastAsia="zh-CN"/>
              </w:rPr>
              <w:t>教学科研</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等保测评</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firstLineChars="0"/>
              <w:rPr>
                <w:rFonts w:ascii="仿宋" w:hAnsi="仿宋" w:eastAsia="仿宋" w:cs="宋体"/>
                <w:color w:val="000000"/>
                <w:sz w:val="30"/>
                <w:szCs w:val="30"/>
              </w:rPr>
            </w:pPr>
            <w:r>
              <w:rPr>
                <w:rFonts w:hint="eastAsia" w:ascii="仿宋" w:hAnsi="仿宋" w:eastAsia="仿宋" w:cs="宋体"/>
                <w:color w:val="000000"/>
                <w:sz w:val="30"/>
                <w:szCs w:val="30"/>
              </w:rPr>
              <w:t>二级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1</w:t>
            </w:r>
          </w:p>
        </w:tc>
        <w:tc>
          <w:tcPr>
            <w:tcW w:w="2370" w:type="dxa"/>
            <w:vMerge w:val="restart"/>
            <w:tcBorders>
              <w:top w:val="double" w:color="000000" w:sz="2" w:space="0"/>
              <w:left w:val="nil"/>
              <w:right w:val="double" w:color="000000" w:sz="2" w:space="0"/>
            </w:tcBorders>
            <w:vAlign w:val="center"/>
          </w:tcPr>
          <w:p>
            <w:pPr>
              <w:widowControl/>
              <w:jc w:val="center"/>
              <w:rPr>
                <w:rFonts w:hint="default"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6.4</w:t>
            </w:r>
          </w:p>
        </w:tc>
      </w:tr>
      <w:tr>
        <w:tblPrEx>
          <w:tblCellMar>
            <w:top w:w="0" w:type="dxa"/>
            <w:left w:w="108" w:type="dxa"/>
            <w:bottom w:w="0" w:type="dxa"/>
            <w:right w:w="108" w:type="dxa"/>
          </w:tblCellMar>
        </w:tblPrEx>
        <w:trPr>
          <w:trHeight w:val="480" w:hRule="atLeast"/>
          <w:jc w:val="center"/>
        </w:trPr>
        <w:tc>
          <w:tcPr>
            <w:tcW w:w="920" w:type="dxa"/>
            <w:tcBorders>
              <w:top w:val="double" w:color="000000" w:sz="2" w:space="0"/>
              <w:left w:val="double" w:color="000000" w:sz="2" w:space="0"/>
              <w:bottom w:val="double" w:color="000000" w:sz="2" w:space="0"/>
              <w:right w:val="double" w:color="000000" w:sz="2" w:space="0"/>
            </w:tcBorders>
            <w:vAlign w:val="center"/>
          </w:tcPr>
          <w:p>
            <w:pPr>
              <w:pStyle w:val="11"/>
              <w:adjustRightInd w:val="0"/>
              <w:snapToGrid w:val="0"/>
              <w:ind w:left="-6" w:leftChars="-3"/>
              <w:jc w:val="center"/>
              <w:rPr>
                <w:rFonts w:ascii="仿宋" w:hAnsi="仿宋" w:eastAsia="仿宋"/>
                <w:b/>
                <w:sz w:val="30"/>
                <w:szCs w:val="30"/>
              </w:rPr>
            </w:pPr>
            <w:r>
              <w:rPr>
                <w:rFonts w:hint="eastAsia" w:ascii="仿宋" w:hAnsi="仿宋" w:eastAsia="仿宋"/>
                <w:b/>
                <w:sz w:val="30"/>
                <w:szCs w:val="30"/>
              </w:rPr>
              <w:t>2</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jc w:val="center"/>
              <w:rPr>
                <w:rFonts w:ascii="仿宋" w:hAnsi="仿宋" w:eastAsia="仿宋" w:cs="宋体"/>
                <w:color w:val="000000"/>
                <w:sz w:val="30"/>
                <w:szCs w:val="30"/>
              </w:rPr>
            </w:pPr>
            <w:r>
              <w:rPr>
                <w:rFonts w:hint="eastAsia" w:ascii="仿宋" w:hAnsi="仿宋" w:eastAsia="仿宋" w:cs="宋体"/>
                <w:color w:val="000000"/>
                <w:sz w:val="30"/>
                <w:szCs w:val="30"/>
              </w:rPr>
              <w:t>门户网站</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等保测评</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firstLineChars="0"/>
              <w:rPr>
                <w:rFonts w:ascii="仿宋" w:hAnsi="仿宋" w:eastAsia="仿宋" w:cs="宋体"/>
                <w:color w:val="000000"/>
                <w:sz w:val="30"/>
                <w:szCs w:val="30"/>
              </w:rPr>
            </w:pPr>
            <w:r>
              <w:rPr>
                <w:rFonts w:hint="eastAsia" w:ascii="仿宋" w:hAnsi="仿宋" w:eastAsia="仿宋" w:cs="宋体"/>
                <w:color w:val="000000"/>
                <w:sz w:val="30"/>
                <w:szCs w:val="30"/>
              </w:rPr>
              <w:t>二级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1</w:t>
            </w:r>
          </w:p>
        </w:tc>
        <w:tc>
          <w:tcPr>
            <w:tcW w:w="2370" w:type="dxa"/>
            <w:vMerge w:val="continue"/>
            <w:tcBorders>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p>
        </w:tc>
      </w:tr>
    </w:tbl>
    <w:p>
      <w:pPr>
        <w:pStyle w:val="11"/>
        <w:adjustRightInd w:val="0"/>
        <w:snapToGrid w:val="0"/>
        <w:ind w:left="-6" w:leftChars="-3" w:firstLine="561"/>
        <w:rPr>
          <w:rFonts w:ascii="宋体" w:hAnsi="宋体"/>
          <w:sz w:val="28"/>
          <w:szCs w:val="28"/>
        </w:rPr>
      </w:pP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三、依据标准</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s="宋体"/>
          <w:color w:val="000000"/>
          <w:sz w:val="30"/>
          <w:szCs w:val="30"/>
        </w:rPr>
      </w:pPr>
      <w:r>
        <w:rPr>
          <w:rFonts w:hint="eastAsia" w:ascii="仿宋" w:hAnsi="仿宋" w:eastAsia="仿宋" w:cs="宋体"/>
          <w:color w:val="000000"/>
          <w:sz w:val="30"/>
          <w:szCs w:val="30"/>
        </w:rPr>
        <w:t>实施方应依据国家等级保护相关标准开展工作，依据标准包括但不限于如下国家标准：</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olor w:val="000000"/>
          <w:sz w:val="30"/>
          <w:szCs w:val="30"/>
        </w:rPr>
      </w:pPr>
      <w:r>
        <w:rPr>
          <w:rFonts w:ascii="仿宋" w:hAnsi="仿宋" w:eastAsia="仿宋"/>
          <w:color w:val="000000"/>
          <w:sz w:val="30"/>
          <w:szCs w:val="30"/>
        </w:rPr>
        <w:t xml:space="preserve">GB/T 22239-2019 信息安全技术 </w:t>
      </w:r>
      <w:r>
        <w:rPr>
          <w:rFonts w:hint="eastAsia" w:ascii="仿宋" w:hAnsi="仿宋" w:eastAsia="仿宋"/>
          <w:color w:val="000000"/>
          <w:sz w:val="30"/>
          <w:szCs w:val="30"/>
        </w:rPr>
        <w:t>网络安全</w:t>
      </w:r>
      <w:r>
        <w:rPr>
          <w:rFonts w:ascii="仿宋" w:hAnsi="仿宋" w:eastAsia="仿宋"/>
          <w:color w:val="000000"/>
          <w:sz w:val="30"/>
          <w:szCs w:val="30"/>
        </w:rPr>
        <w:t xml:space="preserve">等级保护基本要求 </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olor w:val="000000"/>
          <w:sz w:val="30"/>
          <w:szCs w:val="30"/>
        </w:rPr>
      </w:pPr>
      <w:r>
        <w:rPr>
          <w:rFonts w:ascii="仿宋" w:hAnsi="仿宋" w:eastAsia="仿宋"/>
          <w:color w:val="000000"/>
          <w:sz w:val="30"/>
          <w:szCs w:val="30"/>
        </w:rPr>
        <w:t>GB/T 28448-2019</w:t>
      </w:r>
      <w:r>
        <w:rPr>
          <w:rFonts w:hint="eastAsia" w:ascii="仿宋" w:hAnsi="仿宋" w:eastAsia="仿宋"/>
          <w:color w:val="000000"/>
          <w:sz w:val="30"/>
          <w:szCs w:val="30"/>
        </w:rPr>
        <w:t xml:space="preserve"> </w:t>
      </w:r>
      <w:r>
        <w:rPr>
          <w:rFonts w:ascii="仿宋" w:hAnsi="仿宋" w:eastAsia="仿宋"/>
          <w:color w:val="000000"/>
          <w:sz w:val="30"/>
          <w:szCs w:val="30"/>
        </w:rPr>
        <w:t>信息安全技术</w:t>
      </w:r>
      <w:r>
        <w:rPr>
          <w:rFonts w:hint="cs" w:ascii="仿宋" w:hAnsi="仿宋" w:eastAsia="仿宋"/>
          <w:color w:val="000000"/>
          <w:sz w:val="30"/>
          <w:szCs w:val="30"/>
        </w:rPr>
        <w:t xml:space="preserve"> </w:t>
      </w:r>
      <w:r>
        <w:rPr>
          <w:rFonts w:hint="eastAsia" w:ascii="仿宋" w:hAnsi="仿宋" w:eastAsia="仿宋"/>
          <w:color w:val="000000"/>
          <w:sz w:val="30"/>
          <w:szCs w:val="30"/>
        </w:rPr>
        <w:t>网络</w:t>
      </w:r>
      <w:r>
        <w:rPr>
          <w:rFonts w:ascii="仿宋" w:hAnsi="仿宋" w:eastAsia="仿宋"/>
          <w:color w:val="000000"/>
          <w:sz w:val="30"/>
          <w:szCs w:val="30"/>
        </w:rPr>
        <w:t>安全等级保护测评要求</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四、技术要求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根据国家网络安全等级保护相关标准，实施方对</w:t>
      </w:r>
      <w:r>
        <w:rPr>
          <w:rFonts w:hint="eastAsia" w:ascii="仿宋" w:hAnsi="仿宋" w:eastAsia="仿宋"/>
          <w:color w:val="000000"/>
          <w:sz w:val="30"/>
          <w:szCs w:val="30"/>
        </w:rPr>
        <w:t>浙江水利水电学院心信</w:t>
      </w:r>
      <w:r>
        <w:rPr>
          <w:rFonts w:hint="eastAsia" w:ascii="仿宋" w:hAnsi="仿宋" w:eastAsia="仿宋" w:cs="宋体"/>
          <w:color w:val="000000"/>
          <w:sz w:val="30"/>
          <w:szCs w:val="30"/>
        </w:rPr>
        <w:t>息系统安全等级保护测评的内容包括但不限于以下内容：</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安全技术测评：包括物理安全、网络安全、主机系统安全、应用安全和数据安全等五个方面的安全测评；</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安全管理测评：安全管理机构、安全管理制度、人员安全管理、系统建设管理和系统运维管理等五个方面的安全测评；</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1、等级测评要求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2)实施方应详细描述测评人员的组成、资质及各自职责的划分。实施方应配置有经验的测评人员进行本次等级测评工作。</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3)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台的要求以及使用可能对系统造成的风险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4)对于在测评过程中采用的测评方法、测评所使用的工具、测评所覆盖的各方面，需要符合信息安全等级保护主管部门要求，包括但不仅仅包括具有基于TLV编码的数字证书数据格式合规性分析检测系统、基于BS应用的网络安全风险监测及检测平台、基于SM2算法的文件授权引用保护平台软件等，提供相关计算机软著证明文件。</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5)安全测评工具软件运行可能需要的硬件平台（如笔记本电脑、PC、工作站等）和操作系统软件等由实施方推荐，经采购方确认后由实施方提供并在测评中使用。</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6)安全测评需要的运行环境（如场地、网络环境等）由采购方提供，实施方应详细描述需要的运行环境的具体要求。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7)项目完成后必须提交完整的技术文档、测评报告、整改建议等。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2、项目实施要求</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1)</w:t>
      </w:r>
      <w:r>
        <w:rPr>
          <w:rFonts w:hint="eastAsia" w:ascii="仿宋" w:hAnsi="仿宋" w:eastAsia="仿宋" w:cs="宋体"/>
          <w:sz w:val="30"/>
          <w:szCs w:val="30"/>
        </w:rPr>
        <w:t>实施方应保证投标项目在采购方条件成熟时应立即开展实施；</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实施方需根据自己的工程实施经验结合采购方的实际需求进一步细化和完善工作任务书，作为工程实施的指导性文件；</w:t>
      </w:r>
    </w:p>
    <w:p>
      <w:pPr>
        <w:pStyle w:val="11"/>
        <w:adjustRightInd w:val="0"/>
        <w:snapToGrid w:val="0"/>
        <w:ind w:left="-6" w:leftChars="-3" w:firstLine="561"/>
        <w:rPr>
          <w:rFonts w:ascii="仿宋" w:hAnsi="仿宋" w:eastAsia="仿宋" w:cs="宋体"/>
          <w:sz w:val="30"/>
          <w:szCs w:val="30"/>
          <w:highlight w:val="none"/>
        </w:rPr>
      </w:pPr>
      <w:r>
        <w:rPr>
          <w:rFonts w:hint="eastAsia" w:ascii="仿宋" w:hAnsi="仿宋" w:eastAsia="仿宋"/>
          <w:sz w:val="30"/>
          <w:szCs w:val="30"/>
        </w:rPr>
        <w:t>4)</w:t>
      </w:r>
      <w:r>
        <w:rPr>
          <w:rFonts w:hint="eastAsia" w:ascii="仿宋" w:hAnsi="仿宋" w:eastAsia="仿宋" w:cs="宋体"/>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w:t>
      </w:r>
      <w:r>
        <w:rPr>
          <w:rFonts w:hint="eastAsia" w:ascii="仿宋" w:hAnsi="仿宋" w:eastAsia="仿宋" w:cs="宋体"/>
          <w:sz w:val="30"/>
          <w:szCs w:val="30"/>
          <w:highlight w:val="none"/>
        </w:rPr>
        <w:t>，以确保工程实施按时保质的完成；</w:t>
      </w:r>
    </w:p>
    <w:p>
      <w:pPr>
        <w:pStyle w:val="11"/>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highlight w:val="none"/>
        </w:rPr>
        <w:t>5)</w:t>
      </w:r>
      <w:r>
        <w:rPr>
          <w:rFonts w:hint="eastAsia" w:ascii="仿宋" w:hAnsi="仿宋" w:eastAsia="仿宋" w:cs="宋体"/>
          <w:sz w:val="30"/>
          <w:szCs w:val="30"/>
        </w:rPr>
        <w:t>本项目的项目经理必须具备高级测评师证书</w:t>
      </w:r>
      <w:r>
        <w:rPr>
          <w:rFonts w:hint="eastAsia" w:ascii="仿宋" w:hAnsi="仿宋" w:eastAsia="仿宋" w:cs="宋体"/>
          <w:sz w:val="30"/>
          <w:szCs w:val="30"/>
          <w:lang w:eastAsia="zh-CN"/>
        </w:rPr>
        <w:t>，</w:t>
      </w:r>
      <w:r>
        <w:rPr>
          <w:rFonts w:hint="eastAsia" w:ascii="仿宋" w:hAnsi="仿宋" w:eastAsia="仿宋" w:cs="宋体"/>
          <w:sz w:val="30"/>
          <w:szCs w:val="30"/>
        </w:rPr>
        <w:t>中标供应商必须具有公安部第三研究所颁布的“网络安全等级测评与检测评估机构服务认证证书”资格。（报价时提供</w:t>
      </w:r>
      <w:r>
        <w:rPr>
          <w:rFonts w:hint="eastAsia" w:ascii="仿宋" w:hAnsi="仿宋" w:eastAsia="仿宋" w:cs="宋体"/>
          <w:sz w:val="30"/>
          <w:szCs w:val="30"/>
          <w:lang w:eastAsia="zh-CN"/>
        </w:rPr>
        <w:t>，</w:t>
      </w:r>
      <w:r>
        <w:rPr>
          <w:rFonts w:hint="eastAsia" w:ascii="仿宋" w:hAnsi="仿宋" w:eastAsia="仿宋" w:cs="宋体"/>
          <w:sz w:val="30"/>
          <w:szCs w:val="30"/>
        </w:rPr>
        <w:t>中标供应商不能提供的做废标处理）。</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6)</w:t>
      </w:r>
      <w:r>
        <w:rPr>
          <w:rFonts w:hint="eastAsia" w:ascii="仿宋" w:hAnsi="仿宋" w:eastAsia="仿宋" w:cs="宋体"/>
          <w:sz w:val="30"/>
          <w:szCs w:val="30"/>
        </w:rPr>
        <w:t>项目验收完成后，要求提供为期一年的安全咨询服务，以保证项目正常运行。</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五、测评报告要求</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实施方应对采购人的各个信息系统进行等级保护测评，形成相应的报告。</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实施方在测评完成后，出具符合信息安全等级保护主管部门要求的信息系统安全等级保护测评报告；</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对不符合信息安全等级保护有关管理规范和技术标准的，实施方出具可行的信息系统整改建议，并指导用户方完成整改；</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实施方</w:t>
      </w:r>
      <w:r>
        <w:rPr>
          <w:rFonts w:hint="eastAsia" w:ascii="仿宋" w:hAnsi="仿宋" w:eastAsia="仿宋" w:cs="宋体"/>
          <w:sz w:val="30"/>
          <w:szCs w:val="30"/>
        </w:rPr>
        <w:t>协助用户方办理信息系统安全等级保护备案手续等相关工作。</w:t>
      </w:r>
      <w:r>
        <w:rPr>
          <w:rFonts w:ascii="仿宋" w:hAnsi="仿宋" w:eastAsia="仿宋" w:cs="宋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六、付款方式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签定合同，经过项目终验后一次性支付合同总额的100%。</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七、询比价供应商须知</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（一）询比价供应商资格要求：</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2、具有网络安全等级保护测评机构推荐证书；</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3、在中华人民共和国境内注册，注册资金在100万元（含100万元）以上，具有独立法人资格。</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（二）询比价文件要求：</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该项目为一个合同包，报价人须以人民币报价，并列出项目的单价及总价，报价应含税费、差率费及设备使用费等所有费用。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（三）响应性文件递交</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1、报价文件组成：(均需加盖单位公章)</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①营业执照副本复印件。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②税务登记证副本复印件；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③组织机构代码证复印件；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④法定代表人授权委托书及被委托人身份证复印件；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⑤报价单；</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default" w:ascii="仿宋" w:hAnsi="仿宋" w:eastAsia="仿宋" w:cs="宋体"/>
          <w:kern w:val="0"/>
          <w:sz w:val="30"/>
          <w:szCs w:val="30"/>
          <w:lang w:val="en-US" w:eastAsia="zh-CN" w:bidi="ar-SA"/>
        </w:rPr>
      </w:pPr>
      <w:bookmarkStart w:id="0" w:name="_GoBack"/>
      <w:bookmarkEnd w:id="0"/>
      <w:r>
        <w:rPr>
          <w:rFonts w:hint="eastAsia" w:ascii="仿宋" w:hAnsi="仿宋" w:eastAsia="仿宋" w:cs="宋体"/>
          <w:kern w:val="0"/>
          <w:sz w:val="30"/>
          <w:szCs w:val="30"/>
          <w:lang w:val="en-US" w:eastAsia="zh-CN" w:bidi="ar-SA"/>
        </w:rPr>
        <w:t>联系人：张老师</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default"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 xml:space="preserve">联系电话： 0571-86929168   </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八、成交原则</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符合采购需求，技术规格相同，质量及售后服务相当的情况下，在不超过最高限价的金额内，确定报价总价最低者的供应商为成交方。</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九、合同谈判与签订</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1、成交结果通知供应商后15日内与采购单位签订服务合同；</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2、成交人应在服务合同签订的服务期内向采购单位服务；</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3、采购单位根据成交方的报价文件、合同进行验收。</w:t>
      </w:r>
    </w:p>
    <w:p>
      <w:pPr>
        <w:ind w:firstLine="480" w:firstLineChars="200"/>
        <w:rPr>
          <w:rFonts w:hint="eastAsia" w:eastAsiaTheme="minorEastAsia"/>
          <w:sz w:val="24"/>
          <w:lang w:eastAsia="zh-CN"/>
        </w:rPr>
      </w:pPr>
    </w:p>
    <w:p>
      <w:pPr>
        <w:pStyle w:val="11"/>
        <w:adjustRightInd w:val="0"/>
        <w:snapToGrid w:val="0"/>
        <w:ind w:left="-6" w:leftChars="-3" w:firstLine="561"/>
        <w:rPr>
          <w:rFonts w:ascii="仿宋" w:hAnsi="仿宋" w:eastAsia="仿宋" w:cs="宋体"/>
          <w:color w:val="00000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ZDNmYmE0NDRiNjA3MjIwMWNiMTY5YTYzZGE0NjEifQ=="/>
    <w:docVar w:name="KSO_WPS_MARK_KEY" w:val="e2eb2a41-a913-4705-ab79-45fd46142cc9"/>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45"/>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7A8"/>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4B21"/>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3C48"/>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1CC3"/>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9DB"/>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BD6"/>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B4"/>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145"/>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55"/>
    <w:rsid w:val="00B749AB"/>
    <w:rsid w:val="00B7577F"/>
    <w:rsid w:val="00B767D9"/>
    <w:rsid w:val="00B76B0B"/>
    <w:rsid w:val="00B76E73"/>
    <w:rsid w:val="00B7705F"/>
    <w:rsid w:val="00B77426"/>
    <w:rsid w:val="00B80C5D"/>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AC7"/>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2F7"/>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455"/>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3632"/>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987"/>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49F343C"/>
    <w:rsid w:val="0757740B"/>
    <w:rsid w:val="078F59E9"/>
    <w:rsid w:val="079E5B2A"/>
    <w:rsid w:val="08497993"/>
    <w:rsid w:val="0897085D"/>
    <w:rsid w:val="096B4234"/>
    <w:rsid w:val="0B0E6082"/>
    <w:rsid w:val="0BF70001"/>
    <w:rsid w:val="0D7A67C2"/>
    <w:rsid w:val="0E0013EF"/>
    <w:rsid w:val="103F28DE"/>
    <w:rsid w:val="142D6C0C"/>
    <w:rsid w:val="14C17F63"/>
    <w:rsid w:val="19E54B2E"/>
    <w:rsid w:val="1B0818E3"/>
    <w:rsid w:val="1D063C00"/>
    <w:rsid w:val="247F1651"/>
    <w:rsid w:val="24CB54FD"/>
    <w:rsid w:val="25E24F44"/>
    <w:rsid w:val="280010E8"/>
    <w:rsid w:val="28AB1AEF"/>
    <w:rsid w:val="2932579D"/>
    <w:rsid w:val="2B7E174D"/>
    <w:rsid w:val="2D0F2E30"/>
    <w:rsid w:val="30006BD5"/>
    <w:rsid w:val="304D174B"/>
    <w:rsid w:val="311A5A74"/>
    <w:rsid w:val="31466869"/>
    <w:rsid w:val="37D746BF"/>
    <w:rsid w:val="3A5169AB"/>
    <w:rsid w:val="3D5B0105"/>
    <w:rsid w:val="3E6D4BB8"/>
    <w:rsid w:val="3F4343E8"/>
    <w:rsid w:val="3F665323"/>
    <w:rsid w:val="3FD14E63"/>
    <w:rsid w:val="434B10DD"/>
    <w:rsid w:val="447514E8"/>
    <w:rsid w:val="46841EB6"/>
    <w:rsid w:val="472E3BD0"/>
    <w:rsid w:val="479E0D55"/>
    <w:rsid w:val="4BEB08DE"/>
    <w:rsid w:val="4C5137A4"/>
    <w:rsid w:val="4F1D4C56"/>
    <w:rsid w:val="50A56058"/>
    <w:rsid w:val="51695485"/>
    <w:rsid w:val="521B4013"/>
    <w:rsid w:val="529D6E9F"/>
    <w:rsid w:val="52C35B14"/>
    <w:rsid w:val="53725308"/>
    <w:rsid w:val="54BB3EF6"/>
    <w:rsid w:val="54DD0477"/>
    <w:rsid w:val="55EC5382"/>
    <w:rsid w:val="55FD7AC5"/>
    <w:rsid w:val="560D1410"/>
    <w:rsid w:val="57686C8A"/>
    <w:rsid w:val="5C7D4F86"/>
    <w:rsid w:val="5DAF10EC"/>
    <w:rsid w:val="5E565A8E"/>
    <w:rsid w:val="5EE13A22"/>
    <w:rsid w:val="61D547F6"/>
    <w:rsid w:val="63FB1430"/>
    <w:rsid w:val="65064552"/>
    <w:rsid w:val="66E660A8"/>
    <w:rsid w:val="66E75E1D"/>
    <w:rsid w:val="672E5697"/>
    <w:rsid w:val="68790CEA"/>
    <w:rsid w:val="68C47A10"/>
    <w:rsid w:val="69DA00D8"/>
    <w:rsid w:val="69FB7307"/>
    <w:rsid w:val="6BB43DF4"/>
    <w:rsid w:val="6C8C6B1F"/>
    <w:rsid w:val="6C927453"/>
    <w:rsid w:val="6D2372A6"/>
    <w:rsid w:val="72BB015E"/>
    <w:rsid w:val="75E232F5"/>
    <w:rsid w:val="76804D81"/>
    <w:rsid w:val="78707260"/>
    <w:rsid w:val="795F7A95"/>
    <w:rsid w:val="7D6F2271"/>
    <w:rsid w:val="7DAB5338"/>
    <w:rsid w:val="DABF9A81"/>
    <w:rsid w:val="EAFBAFA9"/>
    <w:rsid w:val="F7CB8219"/>
    <w:rsid w:val="F8FFD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Char"/>
    <w:basedOn w:val="6"/>
    <w:autoRedefine/>
    <w:semiHidden/>
    <w:qFormat/>
    <w:uiPriority w:val="9"/>
    <w:rPr>
      <w:rFonts w:asciiTheme="majorHAnsi" w:hAnsiTheme="majorHAnsi" w:eastAsiaTheme="majorEastAsia" w:cstheme="majorBidi"/>
      <w:b/>
      <w:bCs/>
      <w:sz w:val="32"/>
      <w:szCs w:val="32"/>
    </w:rPr>
  </w:style>
  <w:style w:type="character" w:customStyle="1" w:styleId="10">
    <w:name w:val="标题 2 字符"/>
    <w:link w:val="2"/>
    <w:qFormat/>
    <w:uiPriority w:val="0"/>
    <w:rPr>
      <w:rFonts w:ascii="Cambria" w:hAnsi="Cambria" w:eastAsia="宋体" w:cs="Times New Roman"/>
      <w:b/>
      <w:bCs/>
      <w:sz w:val="32"/>
      <w:szCs w:val="32"/>
    </w:rPr>
  </w:style>
  <w:style w:type="paragraph" w:customStyle="1" w:styleId="11">
    <w:name w:val="p0"/>
    <w:basedOn w:val="1"/>
    <w:autoRedefine/>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2298</Words>
  <Characters>2390</Characters>
  <Lines>16</Lines>
  <Paragraphs>4</Paragraphs>
  <TotalTime>4</TotalTime>
  <ScaleCrop>false</ScaleCrop>
  <LinksUpToDate>false</LinksUpToDate>
  <CharactersWithSpaces>2405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2020-05-11T21:54:00Z</dcterms:created>
  <dc:creator>章小涛</dc:creator>
  <cp:lastModifiedBy>HFY</cp:lastModifiedBy>
  <dcterms:modified xsi:type="dcterms:W3CDTF">2024-04-24T02:20:16Z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7565236D8D9C47319E64DB6959E3DBF5</vt:lpwstr>
  </property>
</Properties>
</file>