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B9" w:rsidRDefault="008A4C9D" w:rsidP="00EF256D">
      <w:pPr>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浙江水利水电学院下沙校区投影机清洗服务</w:t>
      </w:r>
    </w:p>
    <w:p w:rsidR="004F3DB9" w:rsidRDefault="008A4C9D" w:rsidP="00EF256D">
      <w:pPr>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询价采购项目</w:t>
      </w:r>
    </w:p>
    <w:p w:rsidR="00EF256D" w:rsidRDefault="00EF256D" w:rsidP="00EF256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一、项目基本信息</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浙江水利水电学院多媒体教室投影机专业维护和清洗，项目内容如下： </w:t>
      </w:r>
    </w:p>
    <w:p w:rsidR="00EF256D" w:rsidRDefault="00EF256D" w:rsidP="00EF256D">
      <w:pPr>
        <w:spacing w:line="360" w:lineRule="auto"/>
        <w:rPr>
          <w:rFonts w:asciiTheme="minorEastAsia" w:hAnsiTheme="minorEastAsia"/>
          <w:sz w:val="24"/>
          <w:szCs w:val="24"/>
        </w:rPr>
      </w:pPr>
      <w:r>
        <w:rPr>
          <w:rFonts w:asciiTheme="minorEastAsia" w:hAnsiTheme="minorEastAsia" w:hint="eastAsia"/>
          <w:sz w:val="24"/>
          <w:szCs w:val="24"/>
        </w:rPr>
        <w:t>为了解决投影机使用年限较长后出现的如亮度低、显示模糊、积累灰尘较多和散热不好等问题，以延长投影机的使用寿命，对下沙校区60台投影机进行深度清洗保养包括光通路清洗、内部风扇清洗和滤网清洗。主要品牌有爱普生、索尼、松下。</w:t>
      </w:r>
    </w:p>
    <w:p w:rsidR="00EF256D" w:rsidRDefault="00EF256D" w:rsidP="00EF256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二、项目技术要求</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1、清洗方式：以超声波为主结合手工清洗的方法，清洁投影机的光路，除去液晶片或色轮表面灰尘，清除线路及机内其他内部灰尘，清洁投影机外表及过滤网、反光镜除尘。</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清洁效果：在不更换灯泡的情况下，投影机亮度明显提高。用照度计测量，清洁前后亮度提高80%以上。采用测试与开机抽检相结合的办法进行验收；色度还原性好，在白屏的情况下无色差、无色偏现象；液晶版清洗干净，在白屏的情况下无色斑、无色彩不重合现象。整屏一致性好。</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3、施工日期：自合同签订之日起1</w:t>
      </w:r>
      <w:r>
        <w:rPr>
          <w:rFonts w:asciiTheme="minorEastAsia" w:hAnsiTheme="minorEastAsia"/>
          <w:sz w:val="24"/>
          <w:szCs w:val="24"/>
        </w:rPr>
        <w:t>0</w:t>
      </w:r>
      <w:r>
        <w:rPr>
          <w:rFonts w:asciiTheme="minorEastAsia" w:hAnsiTheme="minorEastAsia" w:hint="eastAsia"/>
          <w:sz w:val="24"/>
          <w:szCs w:val="24"/>
        </w:rPr>
        <w:t>日内完成投影机的清洗、安装、调试等服务。</w:t>
      </w:r>
    </w:p>
    <w:p w:rsidR="00EF256D" w:rsidRDefault="00EF256D" w:rsidP="00EF256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三、注意事项</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1、液晶板除尘，注意保护液晶板，避免受到损伤，同时应小心损伤排线；</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、组装完毕后必须进行一次全面检查后方可开机并将画面清晰度等调至最佳状态；</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3、在除尘、清洗和更换灯泡过程中，确保投影机完整，避免由于人为因素造成投影机损坏和丢失；</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、检查投影机吊架与天花板螺钉固定情况，避免吊架、投影机摇晃；</w:t>
      </w:r>
    </w:p>
    <w:p w:rsidR="00EF256D" w:rsidRDefault="00EF256D" w:rsidP="00EF256D">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、检查吊架托盘与投影机的固定，螺钉至少4个，如缺少，应补齐；</w:t>
      </w:r>
    </w:p>
    <w:p w:rsidR="00EF256D" w:rsidRDefault="00EF256D" w:rsidP="00EF256D">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6、提供投影机清洗服务拆装的过程中，</w:t>
      </w:r>
      <w:r>
        <w:rPr>
          <w:rFonts w:asciiTheme="minorEastAsia" w:hAnsiTheme="minorEastAsia"/>
          <w:sz w:val="24"/>
          <w:szCs w:val="24"/>
        </w:rPr>
        <w:t>中标</w:t>
      </w:r>
      <w:r>
        <w:rPr>
          <w:rFonts w:asciiTheme="minorEastAsia" w:hAnsiTheme="minorEastAsia" w:cs="宋体" w:hint="eastAsia"/>
          <w:kern w:val="0"/>
          <w:sz w:val="24"/>
          <w:szCs w:val="24"/>
          <w:lang w:bidi="ar"/>
        </w:rPr>
        <w:t>方需自备工具和安全防护工具保障施工人员安全</w:t>
      </w:r>
      <w:r>
        <w:rPr>
          <w:rFonts w:asciiTheme="minorEastAsia" w:hAnsiTheme="minorEastAsia" w:cs="宋体"/>
          <w:kern w:val="0"/>
          <w:sz w:val="24"/>
          <w:szCs w:val="24"/>
          <w:lang w:bidi="ar"/>
        </w:rPr>
        <w:t>，安全责任由中标方自行负责</w:t>
      </w:r>
      <w:r>
        <w:rPr>
          <w:rFonts w:asciiTheme="minorEastAsia" w:hAnsiTheme="minorEastAsia" w:hint="eastAsia"/>
          <w:sz w:val="24"/>
          <w:szCs w:val="24"/>
        </w:rPr>
        <w:t>。</w:t>
      </w:r>
    </w:p>
    <w:p w:rsidR="00EF256D" w:rsidRDefault="00EF256D" w:rsidP="00EF256D">
      <w:pPr>
        <w:widowControl/>
        <w:spacing w:line="360" w:lineRule="auto"/>
        <w:ind w:firstLineChars="200" w:firstLine="480"/>
        <w:jc w:val="left"/>
        <w:rPr>
          <w:rFonts w:asciiTheme="minorEastAsia" w:hAnsiTheme="minorEastAsia"/>
          <w:sz w:val="24"/>
          <w:szCs w:val="24"/>
        </w:rPr>
      </w:pPr>
      <w:r>
        <w:rPr>
          <w:rFonts w:asciiTheme="minorEastAsia" w:hAnsiTheme="minorEastAsia"/>
          <w:sz w:val="24"/>
          <w:szCs w:val="24"/>
        </w:rPr>
        <w:lastRenderedPageBreak/>
        <w:t>7、清洗过程中发现的配件、耗材问题需要更换或者维修的，</w:t>
      </w:r>
      <w:proofErr w:type="gramStart"/>
      <w:r>
        <w:rPr>
          <w:rFonts w:asciiTheme="minorEastAsia" w:hAnsiTheme="minorEastAsia"/>
          <w:sz w:val="24"/>
          <w:szCs w:val="24"/>
        </w:rPr>
        <w:t>应第一时间</w:t>
      </w:r>
      <w:proofErr w:type="gramEnd"/>
      <w:r>
        <w:rPr>
          <w:rFonts w:asciiTheme="minorEastAsia" w:hAnsiTheme="minorEastAsia"/>
          <w:sz w:val="24"/>
          <w:szCs w:val="24"/>
        </w:rPr>
        <w:t>与校方管理人员联系，并经校方现场确认后，方可提供更换或者维修服务。中标方私自更换而产生费用的，由中标方自行负责。</w:t>
      </w:r>
    </w:p>
    <w:p w:rsidR="00EF256D" w:rsidRDefault="00EF256D" w:rsidP="00EF256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四、投标资格要求</w:t>
      </w:r>
    </w:p>
    <w:p w:rsidR="00EF256D" w:rsidRPr="00A6549B" w:rsidRDefault="00EF256D" w:rsidP="00EF256D">
      <w:pPr>
        <w:adjustRightInd w:val="0"/>
        <w:snapToGrid w:val="0"/>
        <w:spacing w:line="360" w:lineRule="auto"/>
        <w:jc w:val="left"/>
        <w:rPr>
          <w:rFonts w:asciiTheme="minorEastAsia" w:hAnsiTheme="minorEastAsia"/>
          <w:sz w:val="24"/>
          <w:szCs w:val="24"/>
        </w:rPr>
      </w:pPr>
      <w:r w:rsidRPr="00A6549B">
        <w:rPr>
          <w:rFonts w:asciiTheme="minorEastAsia" w:hAnsiTheme="minorEastAsia" w:hint="eastAsia"/>
          <w:sz w:val="24"/>
          <w:szCs w:val="24"/>
        </w:rPr>
        <w:t>符合《中华人民共和国政府采购法》第二十二条的规定：</w:t>
      </w:r>
    </w:p>
    <w:p w:rsidR="00EF256D" w:rsidRPr="00A6549B"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A6549B">
        <w:rPr>
          <w:rFonts w:asciiTheme="minorEastAsia" w:hAnsiTheme="minorEastAsia" w:hint="eastAsia"/>
          <w:sz w:val="24"/>
          <w:szCs w:val="24"/>
        </w:rPr>
        <w:t>具有独立承担民事责任的能力；</w:t>
      </w:r>
    </w:p>
    <w:p w:rsidR="00EF256D" w:rsidRPr="00A6549B"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A6549B">
        <w:rPr>
          <w:rFonts w:asciiTheme="minorEastAsia" w:hAnsiTheme="minorEastAsia" w:hint="eastAsia"/>
          <w:sz w:val="24"/>
          <w:szCs w:val="24"/>
        </w:rPr>
        <w:t>具有良好的商业信誉和健全的财务会计制度；</w:t>
      </w:r>
    </w:p>
    <w:p w:rsidR="00EF256D" w:rsidRPr="00A6549B"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A6549B">
        <w:rPr>
          <w:rFonts w:asciiTheme="minorEastAsia" w:hAnsiTheme="minorEastAsia" w:hint="eastAsia"/>
          <w:sz w:val="24"/>
          <w:szCs w:val="24"/>
        </w:rPr>
        <w:t>具有履行合同所必需的设备和专业技术能力；</w:t>
      </w:r>
    </w:p>
    <w:p w:rsidR="00EF256D" w:rsidRPr="00A6549B"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sidRPr="00A6549B">
        <w:rPr>
          <w:rFonts w:asciiTheme="minorEastAsia" w:hAnsiTheme="minorEastAsia" w:hint="eastAsia"/>
          <w:sz w:val="24"/>
          <w:szCs w:val="24"/>
        </w:rPr>
        <w:t>有依法缴纳税收和社会保障资金的良好记录；</w:t>
      </w:r>
    </w:p>
    <w:p w:rsidR="00EF256D"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w:t>
      </w:r>
      <w:r w:rsidRPr="00A6549B">
        <w:rPr>
          <w:rFonts w:asciiTheme="minorEastAsia" w:hAnsiTheme="minorEastAsia" w:hint="eastAsia"/>
          <w:sz w:val="24"/>
          <w:szCs w:val="24"/>
        </w:rPr>
        <w:t>参加政府采购活动前三年内，在经营活动中没有重大违法记录；</w:t>
      </w:r>
    </w:p>
    <w:p w:rsidR="00EF256D" w:rsidRDefault="00EF256D" w:rsidP="00EF256D">
      <w:pPr>
        <w:adjustRightInd w:val="0"/>
        <w:snapToGrid w:val="0"/>
        <w:spacing w:line="360" w:lineRule="auto"/>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sidRPr="00A6549B">
        <w:rPr>
          <w:rFonts w:asciiTheme="minorEastAsia" w:hAnsiTheme="minorEastAsia" w:hint="eastAsia"/>
          <w:sz w:val="24"/>
          <w:szCs w:val="24"/>
        </w:rPr>
        <w:t>法律、行政法规规定的其他条件。</w:t>
      </w:r>
    </w:p>
    <w:p w:rsidR="00EF256D" w:rsidRDefault="00EF256D" w:rsidP="00EF256D">
      <w:pPr>
        <w:adjustRightInd w:val="0"/>
        <w:snapToGrid w:val="0"/>
        <w:spacing w:line="360" w:lineRule="auto"/>
        <w:ind w:firstLineChars="200" w:firstLine="482"/>
        <w:jc w:val="left"/>
        <w:rPr>
          <w:rFonts w:asciiTheme="minorEastAsia" w:hAnsiTheme="minorEastAsia" w:cs="Times New Roman"/>
          <w:b/>
          <w:sz w:val="24"/>
          <w:szCs w:val="24"/>
        </w:rPr>
      </w:pPr>
      <w:r>
        <w:rPr>
          <w:rFonts w:asciiTheme="minorEastAsia" w:hAnsiTheme="minorEastAsia" w:cs="Times New Roman" w:hint="eastAsia"/>
          <w:b/>
          <w:sz w:val="24"/>
          <w:szCs w:val="24"/>
        </w:rPr>
        <w:t>五、密封询价响应报价表</w:t>
      </w:r>
    </w:p>
    <w:tbl>
      <w:tblPr>
        <w:tblW w:w="8870" w:type="dxa"/>
        <w:jc w:val="center"/>
        <w:tblLayout w:type="fixed"/>
        <w:tblLook w:val="04A0" w:firstRow="1" w:lastRow="0" w:firstColumn="1" w:lastColumn="0" w:noHBand="0" w:noVBand="1"/>
      </w:tblPr>
      <w:tblGrid>
        <w:gridCol w:w="3156"/>
        <w:gridCol w:w="1039"/>
        <w:gridCol w:w="1332"/>
        <w:gridCol w:w="1829"/>
        <w:gridCol w:w="1514"/>
      </w:tblGrid>
      <w:tr w:rsidR="00EF256D" w:rsidTr="00F74951">
        <w:trPr>
          <w:trHeight w:val="300"/>
          <w:jc w:val="center"/>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256D" w:rsidRDefault="00EF256D" w:rsidP="00F74951">
            <w:pPr>
              <w:spacing w:line="360" w:lineRule="auto"/>
              <w:ind w:firstLine="200"/>
              <w:jc w:val="center"/>
              <w:rPr>
                <w:rFonts w:asciiTheme="minorEastAsia" w:hAnsiTheme="minorEastAsia" w:cs="Calibri"/>
                <w:b/>
                <w:bCs/>
                <w:color w:val="000000"/>
                <w:sz w:val="24"/>
                <w:szCs w:val="24"/>
              </w:rPr>
            </w:pPr>
            <w:r>
              <w:rPr>
                <w:rFonts w:asciiTheme="minorEastAsia" w:hAnsiTheme="minorEastAsia" w:cs="Calibri" w:hint="eastAsia"/>
                <w:b/>
                <w:bCs/>
                <w:color w:val="000000"/>
                <w:sz w:val="24"/>
                <w:szCs w:val="24"/>
              </w:rPr>
              <w:t>品牌型号</w:t>
            </w: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EF256D" w:rsidRDefault="00EF256D" w:rsidP="00F74951">
            <w:pPr>
              <w:spacing w:line="360" w:lineRule="auto"/>
              <w:ind w:firstLine="200"/>
              <w:rPr>
                <w:rFonts w:asciiTheme="minorEastAsia" w:hAnsiTheme="minorEastAsia" w:cs="Calibri"/>
                <w:b/>
                <w:color w:val="000000"/>
                <w:sz w:val="24"/>
                <w:szCs w:val="24"/>
              </w:rPr>
            </w:pPr>
            <w:r>
              <w:rPr>
                <w:rFonts w:asciiTheme="minorEastAsia" w:hAnsiTheme="minorEastAsia" w:cs="Calibri" w:hint="eastAsia"/>
                <w:b/>
                <w:color w:val="000000"/>
                <w:sz w:val="24"/>
                <w:szCs w:val="24"/>
              </w:rPr>
              <w:t>数量</w:t>
            </w:r>
          </w:p>
        </w:tc>
        <w:tc>
          <w:tcPr>
            <w:tcW w:w="1332" w:type="dxa"/>
            <w:tcBorders>
              <w:top w:val="single" w:sz="4" w:space="0" w:color="auto"/>
              <w:left w:val="nil"/>
              <w:bottom w:val="single" w:sz="4" w:space="0" w:color="auto"/>
              <w:right w:val="single" w:sz="4" w:space="0" w:color="auto"/>
            </w:tcBorders>
          </w:tcPr>
          <w:p w:rsidR="00EF256D" w:rsidRDefault="00EF256D" w:rsidP="00F74951">
            <w:pPr>
              <w:spacing w:line="360" w:lineRule="auto"/>
              <w:ind w:firstLine="200"/>
              <w:rPr>
                <w:rFonts w:asciiTheme="minorEastAsia" w:hAnsiTheme="minorEastAsia" w:cs="Calibri"/>
                <w:b/>
                <w:color w:val="000000"/>
                <w:sz w:val="24"/>
                <w:szCs w:val="24"/>
              </w:rPr>
            </w:pPr>
            <w:r>
              <w:rPr>
                <w:rFonts w:asciiTheme="minorEastAsia" w:hAnsiTheme="minorEastAsia" w:cs="Calibri" w:hint="eastAsia"/>
                <w:b/>
                <w:color w:val="000000"/>
                <w:sz w:val="24"/>
                <w:szCs w:val="24"/>
              </w:rPr>
              <w:t>单价</w:t>
            </w:r>
          </w:p>
        </w:tc>
        <w:tc>
          <w:tcPr>
            <w:tcW w:w="1829" w:type="dxa"/>
            <w:tcBorders>
              <w:top w:val="single" w:sz="4" w:space="0" w:color="auto"/>
              <w:left w:val="single" w:sz="4" w:space="0" w:color="auto"/>
              <w:bottom w:val="single" w:sz="4" w:space="0" w:color="auto"/>
              <w:right w:val="single" w:sz="4" w:space="0" w:color="auto"/>
            </w:tcBorders>
          </w:tcPr>
          <w:p w:rsidR="00EF256D" w:rsidRDefault="00EF256D" w:rsidP="00F74951">
            <w:pPr>
              <w:spacing w:line="360" w:lineRule="auto"/>
              <w:ind w:firstLine="200"/>
              <w:jc w:val="center"/>
              <w:rPr>
                <w:rFonts w:asciiTheme="minorEastAsia" w:hAnsiTheme="minorEastAsia" w:cs="Calibri"/>
                <w:b/>
                <w:color w:val="000000"/>
                <w:sz w:val="24"/>
                <w:szCs w:val="24"/>
              </w:rPr>
            </w:pPr>
            <w:r>
              <w:rPr>
                <w:rFonts w:asciiTheme="minorEastAsia" w:hAnsiTheme="minorEastAsia" w:cs="Calibri" w:hint="eastAsia"/>
                <w:b/>
                <w:color w:val="000000"/>
                <w:sz w:val="24"/>
                <w:szCs w:val="24"/>
              </w:rPr>
              <w:t>总价</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256D" w:rsidRDefault="00EF256D" w:rsidP="00F74951">
            <w:pPr>
              <w:spacing w:line="360" w:lineRule="auto"/>
              <w:ind w:firstLine="200"/>
              <w:jc w:val="center"/>
              <w:rPr>
                <w:rFonts w:asciiTheme="minorEastAsia" w:hAnsiTheme="minorEastAsia" w:cs="Calibri"/>
                <w:b/>
                <w:color w:val="000000"/>
                <w:sz w:val="24"/>
                <w:szCs w:val="24"/>
              </w:rPr>
            </w:pPr>
            <w:r>
              <w:rPr>
                <w:rFonts w:asciiTheme="minorEastAsia" w:hAnsiTheme="minorEastAsia" w:cs="Calibri" w:hint="eastAsia"/>
                <w:b/>
                <w:color w:val="000000"/>
                <w:sz w:val="24"/>
                <w:szCs w:val="24"/>
              </w:rPr>
              <w:t>备注</w:t>
            </w:r>
          </w:p>
        </w:tc>
      </w:tr>
      <w:tr w:rsidR="00EF256D" w:rsidTr="00F74951">
        <w:trPr>
          <w:trHeight w:val="728"/>
          <w:jc w:val="center"/>
        </w:trPr>
        <w:tc>
          <w:tcPr>
            <w:tcW w:w="3156" w:type="dxa"/>
            <w:tcBorders>
              <w:top w:val="nil"/>
              <w:left w:val="single" w:sz="4" w:space="0" w:color="auto"/>
              <w:bottom w:val="single" w:sz="4" w:space="0" w:color="auto"/>
              <w:right w:val="single" w:sz="4" w:space="0" w:color="auto"/>
            </w:tcBorders>
            <w:shd w:val="clear" w:color="auto" w:fill="auto"/>
            <w:noWrap/>
            <w:vAlign w:val="bottom"/>
          </w:tcPr>
          <w:p w:rsidR="00EF256D" w:rsidRDefault="00EF256D" w:rsidP="00F74951">
            <w:pPr>
              <w:spacing w:line="360" w:lineRule="auto"/>
              <w:ind w:firstLine="200"/>
              <w:jc w:val="center"/>
              <w:rPr>
                <w:rFonts w:asciiTheme="minorEastAsia" w:hAnsiTheme="minorEastAsia" w:cs="Calibri"/>
                <w:b/>
                <w:bCs/>
                <w:color w:val="000000"/>
                <w:sz w:val="24"/>
                <w:szCs w:val="24"/>
              </w:rPr>
            </w:pPr>
            <w:r>
              <w:rPr>
                <w:rFonts w:asciiTheme="minorEastAsia" w:hAnsiTheme="minorEastAsia" w:cs="Calibri" w:hint="eastAsia"/>
                <w:b/>
                <w:bCs/>
                <w:color w:val="000000"/>
                <w:sz w:val="24"/>
                <w:szCs w:val="24"/>
              </w:rPr>
              <w:t>爱普生、松下、索尼</w:t>
            </w:r>
          </w:p>
        </w:tc>
        <w:tc>
          <w:tcPr>
            <w:tcW w:w="1039" w:type="dxa"/>
            <w:tcBorders>
              <w:top w:val="nil"/>
              <w:left w:val="nil"/>
              <w:bottom w:val="single" w:sz="4" w:space="0" w:color="auto"/>
              <w:right w:val="single" w:sz="4" w:space="0" w:color="auto"/>
            </w:tcBorders>
            <w:shd w:val="clear" w:color="auto" w:fill="auto"/>
            <w:noWrap/>
            <w:vAlign w:val="bottom"/>
          </w:tcPr>
          <w:p w:rsidR="00EF256D" w:rsidRDefault="00EF256D" w:rsidP="00F74951">
            <w:pPr>
              <w:spacing w:line="360" w:lineRule="auto"/>
              <w:ind w:firstLineChars="100" w:firstLine="240"/>
              <w:rPr>
                <w:rFonts w:asciiTheme="minorEastAsia" w:hAnsiTheme="minorEastAsia" w:cs="Calibri"/>
                <w:color w:val="000000"/>
                <w:sz w:val="24"/>
                <w:szCs w:val="24"/>
              </w:rPr>
            </w:pPr>
            <w:r>
              <w:rPr>
                <w:rFonts w:asciiTheme="minorEastAsia" w:hAnsiTheme="minorEastAsia" w:cs="Calibri"/>
                <w:color w:val="000000"/>
                <w:sz w:val="24"/>
                <w:szCs w:val="24"/>
              </w:rPr>
              <w:t>60</w:t>
            </w:r>
            <w:r>
              <w:rPr>
                <w:rFonts w:asciiTheme="minorEastAsia" w:hAnsiTheme="minorEastAsia" w:cs="Calibri" w:hint="eastAsia"/>
                <w:color w:val="000000"/>
                <w:sz w:val="24"/>
                <w:szCs w:val="24"/>
              </w:rPr>
              <w:t>台</w:t>
            </w:r>
          </w:p>
        </w:tc>
        <w:tc>
          <w:tcPr>
            <w:tcW w:w="1332" w:type="dxa"/>
            <w:tcBorders>
              <w:top w:val="single" w:sz="4" w:space="0" w:color="auto"/>
              <w:left w:val="nil"/>
              <w:bottom w:val="single" w:sz="4" w:space="0" w:color="auto"/>
              <w:right w:val="single" w:sz="4" w:space="0" w:color="auto"/>
            </w:tcBorders>
          </w:tcPr>
          <w:p w:rsidR="00EF256D" w:rsidRDefault="00EF256D" w:rsidP="00F74951">
            <w:pPr>
              <w:spacing w:line="360" w:lineRule="auto"/>
              <w:ind w:firstLine="200"/>
              <w:jc w:val="center"/>
              <w:rPr>
                <w:rFonts w:asciiTheme="minorEastAsia" w:hAnsiTheme="minorEastAsia" w:cs="Calibri"/>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EF256D" w:rsidRDefault="00EF256D" w:rsidP="00F74951">
            <w:pPr>
              <w:spacing w:line="360" w:lineRule="auto"/>
              <w:ind w:firstLine="200"/>
              <w:jc w:val="center"/>
              <w:rPr>
                <w:rFonts w:asciiTheme="minorEastAsia" w:hAnsiTheme="minorEastAsia" w:cs="Calibri"/>
                <w:color w:val="000000"/>
                <w:sz w:val="24"/>
                <w:szCs w:val="24"/>
              </w:rPr>
            </w:pPr>
          </w:p>
        </w:tc>
        <w:tc>
          <w:tcPr>
            <w:tcW w:w="1514" w:type="dxa"/>
            <w:tcBorders>
              <w:top w:val="nil"/>
              <w:left w:val="single" w:sz="4" w:space="0" w:color="auto"/>
              <w:bottom w:val="single" w:sz="4" w:space="0" w:color="auto"/>
              <w:right w:val="single" w:sz="4" w:space="0" w:color="auto"/>
            </w:tcBorders>
            <w:shd w:val="clear" w:color="auto" w:fill="auto"/>
            <w:noWrap/>
            <w:vAlign w:val="bottom"/>
          </w:tcPr>
          <w:p w:rsidR="00EF256D" w:rsidRDefault="00EF256D" w:rsidP="00F74951">
            <w:pPr>
              <w:spacing w:line="360" w:lineRule="auto"/>
              <w:ind w:firstLine="200"/>
              <w:rPr>
                <w:rFonts w:asciiTheme="minorEastAsia" w:hAnsiTheme="minorEastAsia" w:cs="Calibri"/>
                <w:color w:val="000000"/>
                <w:sz w:val="24"/>
                <w:szCs w:val="24"/>
              </w:rPr>
            </w:pPr>
          </w:p>
        </w:tc>
      </w:tr>
      <w:tr w:rsidR="00EF256D" w:rsidTr="00F74951">
        <w:trPr>
          <w:trHeight w:val="982"/>
          <w:jc w:val="center"/>
        </w:trPr>
        <w:tc>
          <w:tcPr>
            <w:tcW w:w="41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F256D" w:rsidRDefault="00EF256D" w:rsidP="00F74951">
            <w:pPr>
              <w:spacing w:line="360" w:lineRule="auto"/>
              <w:ind w:firstLine="200"/>
              <w:jc w:val="center"/>
              <w:rPr>
                <w:rFonts w:asciiTheme="minorEastAsia" w:hAnsiTheme="minorEastAsia" w:cs="Calibri"/>
                <w:color w:val="000000"/>
                <w:sz w:val="24"/>
                <w:szCs w:val="24"/>
              </w:rPr>
            </w:pPr>
            <w:r>
              <w:rPr>
                <w:rFonts w:asciiTheme="minorEastAsia" w:hAnsiTheme="minorEastAsia" w:cs="Calibri" w:hint="eastAsia"/>
                <w:b/>
                <w:bCs/>
                <w:color w:val="000000"/>
                <w:sz w:val="24"/>
                <w:szCs w:val="24"/>
              </w:rPr>
              <w:t>总计</w:t>
            </w:r>
          </w:p>
        </w:tc>
        <w:tc>
          <w:tcPr>
            <w:tcW w:w="4675" w:type="dxa"/>
            <w:gridSpan w:val="3"/>
            <w:tcBorders>
              <w:top w:val="single" w:sz="4" w:space="0" w:color="auto"/>
              <w:left w:val="nil"/>
              <w:bottom w:val="single" w:sz="4" w:space="0" w:color="auto"/>
              <w:right w:val="single" w:sz="4" w:space="0" w:color="auto"/>
            </w:tcBorders>
          </w:tcPr>
          <w:p w:rsidR="00EF256D" w:rsidRDefault="00EF256D" w:rsidP="00F74951">
            <w:pPr>
              <w:spacing w:line="360" w:lineRule="auto"/>
              <w:ind w:firstLine="200"/>
              <w:rPr>
                <w:rFonts w:asciiTheme="minorEastAsia" w:hAnsiTheme="minorEastAsia" w:cs="宋体"/>
                <w:sz w:val="24"/>
                <w:szCs w:val="24"/>
                <w:u w:val="single"/>
              </w:rPr>
            </w:pPr>
            <w:r>
              <w:rPr>
                <w:rFonts w:asciiTheme="minorEastAsia" w:hAnsiTheme="minorEastAsia" w:cs="宋体" w:hint="eastAsia"/>
                <w:sz w:val="24"/>
                <w:szCs w:val="24"/>
              </w:rPr>
              <w:t>总价：</w:t>
            </w:r>
            <w:r>
              <w:rPr>
                <w:rFonts w:asciiTheme="minorEastAsia" w:hAnsiTheme="minorEastAsia" w:cs="宋体" w:hint="eastAsia"/>
                <w:sz w:val="24"/>
                <w:szCs w:val="24"/>
                <w:u w:val="single"/>
              </w:rPr>
              <w:t xml:space="preserve">              </w:t>
            </w:r>
          </w:p>
          <w:p w:rsidR="00EF256D" w:rsidRDefault="00EF256D" w:rsidP="00F74951">
            <w:pPr>
              <w:spacing w:line="360" w:lineRule="auto"/>
              <w:ind w:firstLine="200"/>
              <w:rPr>
                <w:rFonts w:asciiTheme="minorEastAsia" w:hAnsiTheme="minorEastAsia" w:cs="Calibri"/>
                <w:color w:val="000000"/>
                <w:sz w:val="24"/>
                <w:szCs w:val="24"/>
              </w:rPr>
            </w:pPr>
            <w:r>
              <w:rPr>
                <w:rFonts w:asciiTheme="minorEastAsia" w:hAnsiTheme="minorEastAsia" w:cs="宋体" w:hint="eastAsia"/>
                <w:sz w:val="24"/>
                <w:szCs w:val="24"/>
              </w:rPr>
              <w:t>人民币（大写）：           元。</w:t>
            </w:r>
          </w:p>
        </w:tc>
      </w:tr>
      <w:tr w:rsidR="00EF256D" w:rsidTr="00F74951">
        <w:trPr>
          <w:trHeight w:val="1832"/>
          <w:jc w:val="center"/>
        </w:trPr>
        <w:tc>
          <w:tcPr>
            <w:tcW w:w="8870" w:type="dxa"/>
            <w:gridSpan w:val="5"/>
            <w:tcBorders>
              <w:top w:val="single" w:sz="4" w:space="0" w:color="auto"/>
              <w:left w:val="single" w:sz="4" w:space="0" w:color="auto"/>
              <w:bottom w:val="single" w:sz="4" w:space="0" w:color="auto"/>
              <w:right w:val="single" w:sz="4" w:space="0" w:color="auto"/>
            </w:tcBorders>
          </w:tcPr>
          <w:p w:rsidR="00EF256D" w:rsidRDefault="00EF256D" w:rsidP="00F74951">
            <w:pPr>
              <w:spacing w:line="360" w:lineRule="auto"/>
              <w:ind w:firstLineChars="200" w:firstLine="480"/>
              <w:rPr>
                <w:rFonts w:asciiTheme="minorEastAsia" w:hAnsiTheme="minorEastAsia" w:cs="Times New Roman"/>
                <w:sz w:val="24"/>
                <w:szCs w:val="24"/>
              </w:rPr>
            </w:pPr>
            <w:r>
              <w:rPr>
                <w:rFonts w:asciiTheme="minorEastAsia" w:hAnsiTheme="minorEastAsia" w:hint="eastAsia"/>
                <w:sz w:val="24"/>
                <w:szCs w:val="24"/>
              </w:rPr>
              <w:t>按照行业标准，对投影机进行清洁保养，包括机芯内外清洁、测光、光学系统的清洗等。</w:t>
            </w:r>
            <w:r>
              <w:rPr>
                <w:rFonts w:asciiTheme="minorEastAsia" w:hAnsiTheme="minorEastAsia"/>
                <w:sz w:val="24"/>
                <w:szCs w:val="24"/>
              </w:rPr>
              <w:t>保证</w:t>
            </w:r>
            <w:r>
              <w:rPr>
                <w:rFonts w:asciiTheme="minorEastAsia" w:hAnsiTheme="minorEastAsia" w:hint="eastAsia"/>
                <w:sz w:val="24"/>
                <w:szCs w:val="24"/>
              </w:rPr>
              <w:t>清洗保</w:t>
            </w:r>
            <w:r>
              <w:rPr>
                <w:rFonts w:asciiTheme="minorEastAsia" w:hAnsiTheme="minorEastAsia"/>
                <w:sz w:val="24"/>
                <w:szCs w:val="24"/>
              </w:rPr>
              <w:t>养后投影机</w:t>
            </w:r>
            <w:r>
              <w:rPr>
                <w:rFonts w:asciiTheme="minorEastAsia" w:hAnsiTheme="minorEastAsia" w:hint="eastAsia"/>
                <w:sz w:val="24"/>
                <w:szCs w:val="24"/>
              </w:rPr>
              <w:t>外</w:t>
            </w:r>
            <w:r>
              <w:rPr>
                <w:rFonts w:asciiTheme="minorEastAsia" w:hAnsiTheme="minorEastAsia"/>
                <w:sz w:val="24"/>
                <w:szCs w:val="24"/>
              </w:rPr>
              <w:t>观整洁，镜片通透晶亮，机芯</w:t>
            </w:r>
            <w:r>
              <w:rPr>
                <w:rFonts w:asciiTheme="minorEastAsia" w:hAnsiTheme="minorEastAsia" w:hint="eastAsia"/>
                <w:sz w:val="24"/>
                <w:szCs w:val="24"/>
              </w:rPr>
              <w:t>除</w:t>
            </w:r>
            <w:r>
              <w:rPr>
                <w:rFonts w:asciiTheme="minorEastAsia" w:hAnsiTheme="minorEastAsia"/>
                <w:sz w:val="24"/>
                <w:szCs w:val="24"/>
              </w:rPr>
              <w:t>尘</w:t>
            </w:r>
            <w:r>
              <w:rPr>
                <w:rFonts w:asciiTheme="minorEastAsia" w:hAnsiTheme="minorEastAsia" w:hint="eastAsia"/>
                <w:sz w:val="24"/>
                <w:szCs w:val="24"/>
              </w:rPr>
              <w:t>彻底</w:t>
            </w:r>
            <w:r>
              <w:rPr>
                <w:rFonts w:asciiTheme="minorEastAsia" w:hAnsiTheme="minorEastAsia"/>
                <w:sz w:val="24"/>
                <w:szCs w:val="24"/>
              </w:rPr>
              <w:t>，投</w:t>
            </w:r>
            <w:r>
              <w:rPr>
                <w:rFonts w:asciiTheme="minorEastAsia" w:hAnsiTheme="minorEastAsia" w:hint="eastAsia"/>
                <w:sz w:val="24"/>
                <w:szCs w:val="24"/>
              </w:rPr>
              <w:t>影</w:t>
            </w:r>
            <w:r>
              <w:rPr>
                <w:rFonts w:asciiTheme="minorEastAsia" w:hAnsiTheme="minorEastAsia"/>
                <w:sz w:val="24"/>
                <w:szCs w:val="24"/>
              </w:rPr>
              <w:t>机无损坏</w:t>
            </w:r>
            <w:r>
              <w:rPr>
                <w:rFonts w:asciiTheme="minorEastAsia" w:hAnsiTheme="minorEastAsia" w:hint="eastAsia"/>
                <w:sz w:val="24"/>
                <w:szCs w:val="24"/>
              </w:rPr>
              <w:t>、</w:t>
            </w:r>
            <w:r>
              <w:rPr>
                <w:rFonts w:asciiTheme="minorEastAsia" w:hAnsiTheme="minorEastAsia"/>
                <w:sz w:val="24"/>
                <w:szCs w:val="24"/>
              </w:rPr>
              <w:t>播放更</w:t>
            </w:r>
            <w:r>
              <w:rPr>
                <w:rFonts w:asciiTheme="minorEastAsia" w:hAnsiTheme="minorEastAsia" w:hint="eastAsia"/>
                <w:sz w:val="24"/>
                <w:szCs w:val="24"/>
              </w:rPr>
              <w:t>清晰</w:t>
            </w:r>
            <w:r>
              <w:rPr>
                <w:rFonts w:asciiTheme="minorEastAsia" w:hAnsiTheme="minorEastAsia"/>
                <w:sz w:val="24"/>
                <w:szCs w:val="24"/>
              </w:rPr>
              <w:t>。</w:t>
            </w:r>
            <w:r>
              <w:rPr>
                <w:rFonts w:asciiTheme="minorEastAsia" w:hAnsiTheme="minorEastAsia" w:hint="eastAsia"/>
                <w:sz w:val="24"/>
                <w:szCs w:val="24"/>
              </w:rPr>
              <w:t>清洗</w:t>
            </w:r>
            <w:r>
              <w:rPr>
                <w:rFonts w:asciiTheme="minorEastAsia" w:hAnsiTheme="minorEastAsia"/>
                <w:sz w:val="24"/>
                <w:szCs w:val="24"/>
              </w:rPr>
              <w:t>后安装调试</w:t>
            </w:r>
            <w:r>
              <w:rPr>
                <w:rFonts w:asciiTheme="minorEastAsia" w:hAnsiTheme="minorEastAsia" w:hint="eastAsia"/>
                <w:sz w:val="24"/>
                <w:szCs w:val="24"/>
              </w:rPr>
              <w:t>到位</w:t>
            </w:r>
            <w:r>
              <w:rPr>
                <w:rFonts w:asciiTheme="minorEastAsia" w:hAnsiTheme="minorEastAsia" w:cs="Times New Roman" w:hint="eastAsia"/>
                <w:sz w:val="24"/>
                <w:szCs w:val="24"/>
              </w:rPr>
              <w:t>，并提交清洗维护记录表（中标单位盖章件和电子档）</w:t>
            </w:r>
          </w:p>
        </w:tc>
      </w:tr>
    </w:tbl>
    <w:p w:rsidR="00EF256D" w:rsidRDefault="00EF256D" w:rsidP="00EF256D">
      <w:pPr>
        <w:adjustRightInd w:val="0"/>
        <w:snapToGrid w:val="0"/>
        <w:spacing w:line="360" w:lineRule="auto"/>
        <w:ind w:firstLineChars="200" w:firstLine="482"/>
        <w:rPr>
          <w:rFonts w:asciiTheme="minorEastAsia" w:hAnsiTheme="minorEastAsia" w:cs="Times New Roman"/>
          <w:sz w:val="24"/>
          <w:szCs w:val="24"/>
        </w:rPr>
      </w:pPr>
      <w:r>
        <w:rPr>
          <w:rFonts w:asciiTheme="minorEastAsia" w:hAnsiTheme="minorEastAsia" w:cs="宋体" w:hint="eastAsia"/>
          <w:b/>
          <w:sz w:val="24"/>
          <w:szCs w:val="24"/>
        </w:rPr>
        <w:t>六、价格构成、报价要求：密封报价文件材料均需以档案袋密封完好，并加盖公章，视为有效报价文件。</w:t>
      </w:r>
      <w:r>
        <w:rPr>
          <w:rFonts w:asciiTheme="minorEastAsia" w:hAnsiTheme="minorEastAsia" w:cs="Times New Roman" w:hint="eastAsia"/>
          <w:sz w:val="24"/>
          <w:szCs w:val="24"/>
        </w:rPr>
        <w:t>所有报价均用人民币表示,所报价格均</w:t>
      </w:r>
      <w:r>
        <w:rPr>
          <w:rFonts w:asciiTheme="minorEastAsia" w:hAnsiTheme="minorEastAsia" w:cs="Times New Roman"/>
          <w:sz w:val="24"/>
          <w:szCs w:val="24"/>
        </w:rPr>
        <w:t>包括</w:t>
      </w:r>
      <w:r>
        <w:rPr>
          <w:rFonts w:asciiTheme="minorEastAsia" w:hAnsiTheme="minorEastAsia" w:cs="Times New Roman" w:hint="eastAsia"/>
          <w:sz w:val="24"/>
          <w:szCs w:val="24"/>
        </w:rPr>
        <w:t>运输、安装、调试、检验、培训、税金和保险等一切费用。</w:t>
      </w:r>
      <w:r>
        <w:rPr>
          <w:rFonts w:asciiTheme="minorEastAsia" w:hAnsiTheme="minorEastAsia" w:cs="Times New Roman" w:hint="eastAsia"/>
          <w:b/>
          <w:sz w:val="24"/>
          <w:szCs w:val="24"/>
        </w:rPr>
        <w:t>上述报价为一次报出不再更改的价格。</w:t>
      </w:r>
    </w:p>
    <w:p w:rsidR="00EF256D" w:rsidRDefault="00EF256D" w:rsidP="00EF256D">
      <w:pPr>
        <w:adjustRightInd w:val="0"/>
        <w:snapToGrid w:val="0"/>
        <w:spacing w:line="360" w:lineRule="auto"/>
        <w:ind w:firstLineChars="1500" w:firstLine="3600"/>
        <w:rPr>
          <w:rFonts w:asciiTheme="minorEastAsia" w:hAnsiTheme="minorEastAsia" w:cs="Times New Roman"/>
          <w:sz w:val="24"/>
          <w:szCs w:val="24"/>
        </w:rPr>
      </w:pPr>
      <w:r>
        <w:rPr>
          <w:rFonts w:asciiTheme="minorEastAsia" w:hAnsiTheme="minorEastAsia" w:cs="Times New Roman" w:hint="eastAsia"/>
          <w:sz w:val="24"/>
          <w:szCs w:val="24"/>
        </w:rPr>
        <w:t>供应商名称：</w:t>
      </w:r>
      <w:r>
        <w:rPr>
          <w:rFonts w:asciiTheme="minorEastAsia" w:hAnsiTheme="minorEastAsia" w:cs="Times New Roman"/>
          <w:sz w:val="24"/>
          <w:szCs w:val="24"/>
        </w:rPr>
        <w:t xml:space="preserve">     </w:t>
      </w:r>
      <w:r>
        <w:rPr>
          <w:rFonts w:asciiTheme="minorEastAsia" w:hAnsiTheme="minorEastAsia" w:cs="Times New Roman" w:hint="eastAsia"/>
          <w:sz w:val="24"/>
          <w:szCs w:val="24"/>
        </w:rPr>
        <w:t>（盖单位公章）</w:t>
      </w:r>
    </w:p>
    <w:p w:rsidR="00EF256D" w:rsidRDefault="00EF256D" w:rsidP="00EF256D">
      <w:pPr>
        <w:adjustRightInd w:val="0"/>
        <w:snapToGrid w:val="0"/>
        <w:spacing w:line="360" w:lineRule="auto"/>
        <w:ind w:firstLineChars="1500" w:firstLine="3600"/>
        <w:rPr>
          <w:rFonts w:asciiTheme="minorEastAsia" w:hAnsiTheme="minorEastAsia" w:cs="Times New Roman"/>
          <w:sz w:val="24"/>
          <w:szCs w:val="24"/>
        </w:rPr>
      </w:pPr>
      <w:r>
        <w:rPr>
          <w:rFonts w:asciiTheme="minorEastAsia" w:hAnsiTheme="minorEastAsia" w:cs="Times New Roman" w:hint="eastAsia"/>
          <w:sz w:val="24"/>
          <w:szCs w:val="24"/>
        </w:rPr>
        <w:t>法定代表人或授权代表（签字或盖章）：</w:t>
      </w:r>
      <w:r>
        <w:rPr>
          <w:rFonts w:asciiTheme="minorEastAsia" w:hAnsiTheme="minorEastAsia" w:cs="Times New Roman"/>
          <w:sz w:val="24"/>
          <w:szCs w:val="24"/>
        </w:rPr>
        <w:t xml:space="preserve"> </w:t>
      </w:r>
    </w:p>
    <w:p w:rsidR="00EF256D" w:rsidRDefault="00EF256D" w:rsidP="00EF256D">
      <w:pPr>
        <w:adjustRightInd w:val="0"/>
        <w:snapToGrid w:val="0"/>
        <w:spacing w:line="360" w:lineRule="auto"/>
        <w:ind w:firstLineChars="1500" w:firstLine="3600"/>
        <w:rPr>
          <w:rFonts w:asciiTheme="minorEastAsia" w:hAnsiTheme="minorEastAsia" w:cs="Times New Roman"/>
          <w:sz w:val="24"/>
          <w:szCs w:val="24"/>
        </w:rPr>
      </w:pPr>
      <w:r>
        <w:rPr>
          <w:rFonts w:asciiTheme="minorEastAsia" w:hAnsiTheme="minorEastAsia" w:cs="Times New Roman" w:hint="eastAsia"/>
          <w:sz w:val="24"/>
          <w:szCs w:val="24"/>
        </w:rPr>
        <w:t>联系人：</w:t>
      </w:r>
    </w:p>
    <w:p w:rsidR="00EF256D" w:rsidRDefault="00EF256D" w:rsidP="00EF256D">
      <w:pPr>
        <w:adjustRightInd w:val="0"/>
        <w:snapToGrid w:val="0"/>
        <w:spacing w:line="360" w:lineRule="auto"/>
        <w:ind w:firstLineChars="1500" w:firstLine="3600"/>
        <w:rPr>
          <w:rFonts w:asciiTheme="minorEastAsia" w:hAnsiTheme="minorEastAsia" w:cs="Times New Roman"/>
          <w:sz w:val="24"/>
          <w:szCs w:val="24"/>
        </w:rPr>
      </w:pPr>
      <w:r>
        <w:rPr>
          <w:rFonts w:asciiTheme="minorEastAsia" w:hAnsiTheme="minorEastAsia" w:cs="Times New Roman" w:hint="eastAsia"/>
          <w:sz w:val="24"/>
          <w:szCs w:val="24"/>
        </w:rPr>
        <w:t>联系方式：</w:t>
      </w:r>
    </w:p>
    <w:p w:rsidR="00EF256D" w:rsidRPr="00EF256D" w:rsidRDefault="00EF256D" w:rsidP="00EF256D">
      <w:pPr>
        <w:adjustRightInd w:val="0"/>
        <w:snapToGrid w:val="0"/>
        <w:spacing w:line="360" w:lineRule="auto"/>
        <w:ind w:firstLineChars="1500" w:firstLine="3600"/>
        <w:rPr>
          <w:rFonts w:asciiTheme="minorEastAsia" w:hAnsiTheme="minorEastAsia" w:hint="eastAsia"/>
          <w:sz w:val="24"/>
          <w:szCs w:val="24"/>
        </w:rPr>
      </w:pPr>
      <w:r>
        <w:rPr>
          <w:rFonts w:asciiTheme="minorEastAsia" w:hAnsiTheme="minorEastAsia" w:cs="Times New Roman" w:hint="eastAsia"/>
          <w:sz w:val="24"/>
          <w:szCs w:val="24"/>
        </w:rPr>
        <w:t xml:space="preserve">日期： </w:t>
      </w:r>
      <w:r>
        <w:rPr>
          <w:rFonts w:asciiTheme="minorEastAsia" w:hAnsiTheme="minorEastAsia" w:cs="Times New Roman"/>
          <w:sz w:val="24"/>
          <w:szCs w:val="24"/>
        </w:rPr>
        <w:t xml:space="preserve">   </w:t>
      </w:r>
      <w:r>
        <w:rPr>
          <w:rFonts w:asciiTheme="minorEastAsia" w:hAnsiTheme="minorEastAsia" w:cs="Times New Roman" w:hint="eastAsia"/>
          <w:sz w:val="24"/>
          <w:szCs w:val="24"/>
        </w:rPr>
        <w:t>年</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月 </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日 </w:t>
      </w:r>
      <w:bookmarkStart w:id="0" w:name="_GoBack"/>
      <w:bookmarkEnd w:id="0"/>
    </w:p>
    <w:sectPr w:rsidR="00EF256D" w:rsidRPr="00EF2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427" w:rsidRDefault="00482427" w:rsidP="00A6549B">
      <w:r>
        <w:separator/>
      </w:r>
    </w:p>
  </w:endnote>
  <w:endnote w:type="continuationSeparator" w:id="0">
    <w:p w:rsidR="00482427" w:rsidRDefault="00482427" w:rsidP="00A6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427" w:rsidRDefault="00482427" w:rsidP="00A6549B">
      <w:r>
        <w:separator/>
      </w:r>
    </w:p>
  </w:footnote>
  <w:footnote w:type="continuationSeparator" w:id="0">
    <w:p w:rsidR="00482427" w:rsidRDefault="00482427" w:rsidP="00A65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C6"/>
    <w:rsid w:val="87BB4456"/>
    <w:rsid w:val="F3CA85CB"/>
    <w:rsid w:val="00005D82"/>
    <w:rsid w:val="00016DA5"/>
    <w:rsid w:val="00032529"/>
    <w:rsid w:val="000A3AC4"/>
    <w:rsid w:val="000C665E"/>
    <w:rsid w:val="000D7CE8"/>
    <w:rsid w:val="000F47DC"/>
    <w:rsid w:val="001009B4"/>
    <w:rsid w:val="00126E1D"/>
    <w:rsid w:val="00153846"/>
    <w:rsid w:val="001625FA"/>
    <w:rsid w:val="001D0CFD"/>
    <w:rsid w:val="001D5ABB"/>
    <w:rsid w:val="001D6696"/>
    <w:rsid w:val="00206603"/>
    <w:rsid w:val="00230E75"/>
    <w:rsid w:val="002B6748"/>
    <w:rsid w:val="002C3342"/>
    <w:rsid w:val="002F0FAE"/>
    <w:rsid w:val="00315642"/>
    <w:rsid w:val="00330F9E"/>
    <w:rsid w:val="00384D3C"/>
    <w:rsid w:val="003D7195"/>
    <w:rsid w:val="003E609E"/>
    <w:rsid w:val="00401E35"/>
    <w:rsid w:val="004326DB"/>
    <w:rsid w:val="00437D16"/>
    <w:rsid w:val="00437DAF"/>
    <w:rsid w:val="004442DB"/>
    <w:rsid w:val="00474493"/>
    <w:rsid w:val="00482427"/>
    <w:rsid w:val="00491673"/>
    <w:rsid w:val="004B5BA9"/>
    <w:rsid w:val="004F3DB9"/>
    <w:rsid w:val="005008EA"/>
    <w:rsid w:val="00500C4F"/>
    <w:rsid w:val="00506B43"/>
    <w:rsid w:val="00524FBF"/>
    <w:rsid w:val="005340D7"/>
    <w:rsid w:val="005369C5"/>
    <w:rsid w:val="0054538C"/>
    <w:rsid w:val="0055367D"/>
    <w:rsid w:val="005831BE"/>
    <w:rsid w:val="00591059"/>
    <w:rsid w:val="0059474A"/>
    <w:rsid w:val="00596A7D"/>
    <w:rsid w:val="005F2979"/>
    <w:rsid w:val="0060366F"/>
    <w:rsid w:val="006210C8"/>
    <w:rsid w:val="0062561A"/>
    <w:rsid w:val="00637CC4"/>
    <w:rsid w:val="0067276A"/>
    <w:rsid w:val="006D04DF"/>
    <w:rsid w:val="006D1B04"/>
    <w:rsid w:val="006E7F35"/>
    <w:rsid w:val="007119EF"/>
    <w:rsid w:val="00714144"/>
    <w:rsid w:val="00716AF1"/>
    <w:rsid w:val="00720B18"/>
    <w:rsid w:val="00723C52"/>
    <w:rsid w:val="0073440A"/>
    <w:rsid w:val="00740D0D"/>
    <w:rsid w:val="007E197C"/>
    <w:rsid w:val="007E4AFE"/>
    <w:rsid w:val="007F45D8"/>
    <w:rsid w:val="00822156"/>
    <w:rsid w:val="008A4C9D"/>
    <w:rsid w:val="008E2B6B"/>
    <w:rsid w:val="0090778F"/>
    <w:rsid w:val="009230CF"/>
    <w:rsid w:val="00925554"/>
    <w:rsid w:val="00931AD9"/>
    <w:rsid w:val="00972A6B"/>
    <w:rsid w:val="0098715F"/>
    <w:rsid w:val="009A5921"/>
    <w:rsid w:val="009A7D9A"/>
    <w:rsid w:val="009D34F5"/>
    <w:rsid w:val="009E4F35"/>
    <w:rsid w:val="00A17584"/>
    <w:rsid w:val="00A6549B"/>
    <w:rsid w:val="00A75050"/>
    <w:rsid w:val="00A765E0"/>
    <w:rsid w:val="00A96047"/>
    <w:rsid w:val="00AB130C"/>
    <w:rsid w:val="00AC1E73"/>
    <w:rsid w:val="00AC51C6"/>
    <w:rsid w:val="00B17EB9"/>
    <w:rsid w:val="00B375CE"/>
    <w:rsid w:val="00B51E67"/>
    <w:rsid w:val="00B8117A"/>
    <w:rsid w:val="00B91C3D"/>
    <w:rsid w:val="00BA5456"/>
    <w:rsid w:val="00BB7E97"/>
    <w:rsid w:val="00C00928"/>
    <w:rsid w:val="00C36F7B"/>
    <w:rsid w:val="00C7302F"/>
    <w:rsid w:val="00C8794B"/>
    <w:rsid w:val="00CA5E34"/>
    <w:rsid w:val="00CC3144"/>
    <w:rsid w:val="00D020F9"/>
    <w:rsid w:val="00D02E23"/>
    <w:rsid w:val="00D20124"/>
    <w:rsid w:val="00D56279"/>
    <w:rsid w:val="00DB11A0"/>
    <w:rsid w:val="00DB73F1"/>
    <w:rsid w:val="00DD28E9"/>
    <w:rsid w:val="00DD7411"/>
    <w:rsid w:val="00DE5A20"/>
    <w:rsid w:val="00E212B1"/>
    <w:rsid w:val="00E24A28"/>
    <w:rsid w:val="00E3429C"/>
    <w:rsid w:val="00E4051A"/>
    <w:rsid w:val="00E41622"/>
    <w:rsid w:val="00E435FF"/>
    <w:rsid w:val="00E470E1"/>
    <w:rsid w:val="00E77A6C"/>
    <w:rsid w:val="00E83A7F"/>
    <w:rsid w:val="00EF256D"/>
    <w:rsid w:val="00F00A5A"/>
    <w:rsid w:val="00F07913"/>
    <w:rsid w:val="00F132A3"/>
    <w:rsid w:val="00F13504"/>
    <w:rsid w:val="00F2609B"/>
    <w:rsid w:val="00F30AD9"/>
    <w:rsid w:val="00FE7EA0"/>
    <w:rsid w:val="00FF51D8"/>
    <w:rsid w:val="3FD9C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40D11"/>
  <w15:docId w15:val="{CD3C825B-6785-4A79-9653-3498845D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 w:type="character" w:customStyle="1" w:styleId="apple-converted-space">
    <w:name w:val="apple-converted-space"/>
    <w:basedOn w:val="a0"/>
  </w:style>
  <w:style w:type="character" w:customStyle="1" w:styleId="a6">
    <w:name w:val="页眉 字符"/>
    <w:basedOn w:val="a0"/>
    <w:link w:val="a5"/>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2021-07-23T17:57:00Z</dcterms:created>
  <dcterms:modified xsi:type="dcterms:W3CDTF">2024-07-12T06:22:00Z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