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硅PU技术要求（篮球场、排球场）</w:t>
      </w:r>
    </w:p>
    <w:p>
      <w:pPr>
        <w:pStyle w:val="21"/>
        <w:numPr>
          <w:ilvl w:val="0"/>
          <w:numId w:val="0"/>
        </w:numPr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1、确保产品质量和环保要求的产品参数及生产厂家要求</w:t>
      </w:r>
    </w:p>
    <w:p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1.1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、生产厂家具有企业所在地 污染物排放许可证，企业的环评报告，化学品安全生产许可证；</w:t>
      </w:r>
    </w:p>
    <w:p>
      <w:pPr>
        <w:outlineLvl w:val="2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1.2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 xml:space="preserve">、材料通有害物质，成品物理性能及老化性能的测试报告； </w:t>
      </w:r>
    </w:p>
    <w:p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1.3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、硅pu球场成品邻苯二甲酸酯（DEHP、DBP、BBP、DINP、DIBP、DCHP、DPENP/DnPP、DHEXP/DnHP）含量要&lt;0.1%，球场非固体原料未检出有双酚（BPA）、壬基酚（NP）物质，并提供检测报告；</w:t>
      </w:r>
    </w:p>
    <w:p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1.4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、弹性层结构在500h氙灯加速老化前后的拉伸强度≧0.5MPa，拉断伸长率≧80%，并提供具有“CMA”资质的检测机构出具的测试合格报告。</w:t>
      </w:r>
    </w:p>
    <w:p>
      <w:pPr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2、产品性能要求</w:t>
      </w:r>
    </w:p>
    <w:p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2.1、保证材料的环保无毒无害，硅PU原材料及成品面层化学性能指标要求如下：</w:t>
      </w:r>
    </w:p>
    <w:tbl>
      <w:tblPr>
        <w:tblStyle w:val="17"/>
        <w:tblW w:w="928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7"/>
        <w:gridCol w:w="757"/>
        <w:gridCol w:w="757"/>
        <w:gridCol w:w="4447"/>
        <w:gridCol w:w="234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</w:trPr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596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23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限量值要求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596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23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成品有害物质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有害物质限量</w:t>
            </w: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3种邻苯二甲酸酯类化合物（DBP、BBP、DEHP）总和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3种邻苯二甲酸酯类化合物（DNOP、DINP、DIDP）总和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多环芳烃（18种总和）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≤50，mg/kg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苯并{a}芘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短链氯石化蜡（C10-C13）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≤1.5,g/kg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3，3’-二氯-4,4’-二氨基二苯甲烷（MOCA）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游离甲苯二异氰酸酯（TDI）和游离六亚甲基二异氰酸酯（HDI）总和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≤0.2,g/kg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游离二苯基甲烷二异氰酸酯（MDI）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可溶性铅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≤50，mg/kg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可溶性镉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≤10，mg/kg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可溶性铬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≤10，mg/kg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可溶性汞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≤2，mg/kg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有害物质释放量</w:t>
            </w: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总挥发性有机化合物（TVOC）释放率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≤5.0，mg/m²·h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甲醛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≤0.4，mg/m²·h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苯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≤0.1，mg/m²·h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甲苯、二甲苯和乙苯总和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≤1.0，mg/m²·h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二氧化碳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≤7.0，mg/m²·h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气味等级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≤3，级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15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非固体原料有害物质</w:t>
            </w: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3种邻苯二甲酸酯类化合物（DBP、BBP、DEHP）总和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3种邻苯二甲酸酯类化合物（DNOP、DINP、DIDP）总和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短链氯石化蜡（C10-C13）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≤1.5,g/kg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游离甲苯二异氰酸酯（TDI）和游离六亚甲基二异氰酸酯（HDI）总和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≤10,g/kg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挥发性有机化合物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≤50,g/L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游离甲醛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≤0.5,g/kg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苯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≤0.05,g/kg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甲苯、二甲苯和乙苯总和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≤1.0,g/kg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可溶性铅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≤50，mg/kg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可溶性镉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≤10，mg/kg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可溶性铬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≤10，mg/kg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可溶性汞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≤2，mg/kg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可溶性锑、砷、钡、硼、、三价铬、六价铬、钴、铜、锰、镍、有机锡、硒、锶、锡、锌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不得检出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/>
                <w:szCs w:val="21"/>
              </w:rPr>
              <w:t>邻苯二甲酸酯（DEHP、DBP、BBP、DINP、DIBP、DCHP、DPENP/DnPP、DHEXP/DnHP）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left="400"/>
              <w:rPr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&lt;</w:t>
            </w:r>
            <w:r>
              <w:rPr>
                <w:rFonts w:hint="eastAsia"/>
                <w:szCs w:val="21"/>
              </w:rPr>
              <w:t>0.1%</w:t>
            </w:r>
          </w:p>
        </w:tc>
      </w:tr>
    </w:tbl>
    <w:p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2.2、投标样品要求</w:t>
      </w:r>
    </w:p>
    <w:tbl>
      <w:tblPr>
        <w:tblStyle w:val="17"/>
        <w:tblW w:w="8338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755"/>
        <w:gridCol w:w="2848"/>
        <w:gridCol w:w="283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899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样品名称</w:t>
            </w: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数量</w:t>
            </w:r>
          </w:p>
        </w:tc>
        <w:tc>
          <w:tcPr>
            <w:tcW w:w="284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样品规格</w:t>
            </w:r>
          </w:p>
        </w:tc>
        <w:tc>
          <w:tcPr>
            <w:tcW w:w="2836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样品要求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2" w:hRule="atLeast"/>
          <w:jc w:val="center"/>
        </w:trPr>
        <w:tc>
          <w:tcPr>
            <w:tcW w:w="1899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硅PU成品样品</w:t>
            </w:r>
          </w:p>
        </w:tc>
        <w:tc>
          <w:tcPr>
            <w:tcW w:w="75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1块</w:t>
            </w:r>
          </w:p>
        </w:tc>
        <w:tc>
          <w:tcPr>
            <w:tcW w:w="2848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300mm×400mm×8mm</w:t>
            </w:r>
            <w:r>
              <w:rPr>
                <w:rFonts w:hint="eastAsia" w:ascii="仿宋" w:hAnsi="仿宋" w:eastAsia="仿宋" w:cs="仿宋"/>
                <w:bCs/>
                <w:color w:val="FF0000"/>
                <w:sz w:val="24"/>
              </w:rPr>
              <w:t>（建议不规范尺寸，含球场划线）</w:t>
            </w:r>
          </w:p>
        </w:tc>
        <w:tc>
          <w:tcPr>
            <w:tcW w:w="283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样品分层，弹性层需要是微气囊发泡结构，弹性层上有加强层，面漆层为耐磨水性丙烯酸层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24"/>
              </w:rPr>
              <w:t>（可要求每一层的厚度）</w:t>
            </w:r>
          </w:p>
        </w:tc>
      </w:tr>
    </w:tbl>
    <w:p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2.3、推荐品牌要求：江门长河，宝力智跑 ，广东万合</w:t>
      </w:r>
    </w:p>
    <w:p>
      <w:pPr>
        <w:spacing w:line="360" w:lineRule="auto"/>
        <w:rPr>
          <w:b/>
          <w:sz w:val="36"/>
          <w:szCs w:val="36"/>
        </w:rPr>
      </w:pPr>
    </w:p>
    <w:p>
      <w:pPr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二、硅PU球场施工工艺（篮球场、排球场）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水泥混凝土基础：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1.1基础要求：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坚实平整（平整度要求：3m直尺误差不大于3mm），有一定排水坡度（一般横向不大于6</w:t>
      </w:r>
      <w:r>
        <w:rPr>
          <w:rFonts w:hint="eastAsia" w:ascii="宋体" w:hAnsi="宋体"/>
          <w:sz w:val="24"/>
          <w:szCs w:val="24"/>
          <w:vertAlign w:val="superscript"/>
        </w:rPr>
        <w:t>0</w:t>
      </w:r>
      <w:r>
        <w:rPr>
          <w:rFonts w:hint="eastAsia" w:ascii="宋体" w:hAnsi="宋体"/>
          <w:sz w:val="24"/>
          <w:szCs w:val="24"/>
        </w:rPr>
        <w:t>/</w:t>
      </w:r>
      <w:r>
        <w:rPr>
          <w:rFonts w:hint="eastAsia" w:ascii="宋体" w:hAnsi="宋体"/>
          <w:sz w:val="24"/>
          <w:szCs w:val="24"/>
          <w:vertAlign w:val="subscript"/>
        </w:rPr>
        <w:t>00</w:t>
      </w:r>
      <w:r>
        <w:rPr>
          <w:rFonts w:hint="eastAsia" w:ascii="宋体" w:hAnsi="宋体"/>
          <w:sz w:val="24"/>
          <w:szCs w:val="24"/>
        </w:rPr>
        <w:t>，纵向不大于4</w:t>
      </w:r>
      <w:r>
        <w:rPr>
          <w:rFonts w:hint="eastAsia" w:ascii="宋体" w:hAnsi="宋体"/>
          <w:sz w:val="24"/>
          <w:szCs w:val="24"/>
          <w:vertAlign w:val="superscript"/>
        </w:rPr>
        <w:t>0</w:t>
      </w:r>
      <w:r>
        <w:rPr>
          <w:rFonts w:hint="eastAsia" w:ascii="宋体" w:hAnsi="宋体"/>
          <w:sz w:val="24"/>
          <w:szCs w:val="24"/>
        </w:rPr>
        <w:t>/</w:t>
      </w:r>
      <w:r>
        <w:rPr>
          <w:rFonts w:hint="eastAsia" w:ascii="宋体" w:hAnsi="宋体"/>
          <w:sz w:val="24"/>
          <w:szCs w:val="24"/>
          <w:vertAlign w:val="subscript"/>
        </w:rPr>
        <w:t>00</w:t>
      </w:r>
      <w:r>
        <w:rPr>
          <w:rFonts w:hint="eastAsia" w:ascii="宋体" w:hAnsi="宋体"/>
          <w:sz w:val="24"/>
          <w:szCs w:val="24"/>
        </w:rPr>
        <w:t>，必须保证泄水），强度达到建筑混凝土标准C25强度，浇制后保水养护不少于7天，整体固化养护期不少于28天（保证水泥的固化时间，让水泥在固化过程中产生的白色粉末完全析出于基础表面）。新水泥基础浇制后必须切割合理温度伸缩缝，原则以不大于6mx10m为一方块切割，若分板块浇制的板块间必须切割温度缝（因为两板块之间形成断裂面，受热胀冷缩影响最为明显），切割温度缝要求宽为6~8mm，深度不少于30mm，（保证基础热胀冷缩能集中在温度缝中变化，不会导致基础其它地方开裂）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1.2基础处理：（打磨→清洗粉尘→底涂→封底找平→填缝→积水修补）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1.2.1打磨：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干磨机或者水麿机打磨基面，将基面凹凸不平处和基础表面松散地方打磨平整，以减少因基面坑洼找平所占用的材料，以减少基础不平整造成发泡弹性层材料发泡不均匀现象，保证场地施工后的整体均匀性和整体厚度。把打磨出来的粉尘清扫干净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1.2.2底涂：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基础足够干燥，要求水分含量小于8％。后用专用底涂（TB-201）分一道滚涂或刮涂于基面，原则以涂刷后基面稍微湿润，不足的应补涂（基础差，需要渗透更多）。使基础表面得以达到施工要求。底涂作用为渗透加固水泥基础作用。TB-201固化后即可施工封找平层。低温时，可先把材料加温后使用，边淋边滚涂均匀，不得有积料现象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1.2.3 封底找平层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材料要求的比例开料，开料时A、B组份分别先摇匀，尽量整套开料，避免A、B混合比例不当，把A倒到搅拌桶里，用搅拌器边搅拌边慢慢加入B组份直至搅拌均匀，再加30％的9号砂搅拌均匀。再搅拌1～2分钟，即可使用，薄刮封底。封底找平目的是封闭水泥基础的针孔，封闭基础的针孔。</w:t>
      </w:r>
    </w:p>
    <w:p>
      <w:pPr>
        <w:autoSpaceDN w:val="0"/>
        <w:spacing w:line="360" w:lineRule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ascii="宋体" w:hAnsi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注：开料的中转桶，须有塑料内层或不以渗透的材质，切记不能使用纸桶进行混合分散，容易出现由于渗胶导至物料配比不符的质量问题。</w:t>
      </w: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1.2.4填缝：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用角磨机先把缝的两边磨成圆口，用6mm的填缝泡绵条先把缝填平，后用弹性填缝材料把缝填平，确保填好的缝与基面平整。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1.2.5积水修补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整个场地洒水，找出积水的地方，用笔圈出，晾干场地。积水深度不超过3mm的，用补积水材料按比例（容量器计量），A、B在开料的时候，应该是先把A、B摇均匀，后把A倒到搅拌桶里，用搅拌器边搅拌边慢慢加入B组份直至搅拌均匀，再拌入粗砂（7号砂）比例为1:1的重量比进行补积水。，用直尺或刮板涂刮找平积水处，把积水修补平整。积水深度大于3mm，用补积水材料按比例（容量器计量）加专用砂（6号砂）1:12搅拌均匀，用直尺或刮板涂刮找平积水处后压实平整，固化后用积水材料加砂1：1的材料修补平整.</w:t>
      </w:r>
    </w:p>
    <w:p>
      <w:pPr>
        <w:autoSpaceDN w:val="0"/>
        <w:spacing w:line="360" w:lineRule="auto"/>
        <w:rPr>
          <w:rFonts w:ascii="宋体" w:hAnsi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ascii="宋体" w:hAnsi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注：开料的中转桶，须有塑料内层或不以渗透的材质，切记不能使用纸桶进行混合分散，容易出现由于渗胶导至物料配比不符的质量问题。</w:t>
      </w: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2、沥青基础：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2.1、基础要求：</w:t>
      </w:r>
    </w:p>
    <w:p>
      <w:pPr>
        <w:spacing w:line="360" w:lineRule="auto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表面均匀坚实、无油污、无未搅拌开的沥青块，平整无裂纹，无烂边堆挤，无麻面，接缝平顺光滑，无阻水现像，压实密实度不少于95%，在中型碾压机压过后，无显著轮迹，无发软起皮，无松散浮土、波浪等现象，平整度为3mm直尺误差小于3mm，平整度合格率大于90%，有一定排水坡度，保证泄水。新沥青基础自然养护不少于28天，使沥青中高沸点挥发物挥发完全，保证硅PU材料与基础有良好的粘结。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2.2、基础处理：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清洗: 用洗衣粉水液或洗洁精水液，清洗基面，再用清水冲洗干净，清洗后的基础应无脏污物及其它浮松杂物。清洗时要标好积水位的标识标记 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2.3、积水修补：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基础清洗干净晾干场地后，进行积水修补。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整个场地洒水，找出积水的地方，用笔圈出，晾干场地。积水深度不超过3mm的，用补积水材料按比例（容量器计量），A、B在开料的时候，应该是先把A、B摇均匀，后把A倒到搅拌桶里，用搅拌器边搅拌边慢慢加入B组份直至搅拌均匀，再拌入粗砂（5号砂）比例为1:5的重量比进行补积水。，用直尺或刮板涂刮找平积水处，把积水修补平整；积水深度大于3mm，用补积水材料按比例（容量器计量）加专用砂A:B=1:12搅拌均匀，用直尺或刮板涂刮找平积水处.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(注：开料的中转桶，须有塑料内层或不以渗透的材质，切记不能使用纸桶进行混合分散，容易出现由于渗胶导至物料配比不符的质量问题。)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2.4、封底找平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第一道</w:t>
      </w:r>
      <w:r>
        <w:rPr>
          <w:rFonts w:hint="eastAsia" w:ascii="宋体" w:hAnsi="宋体" w:eastAsia="宋体" w:cs="宋体"/>
          <w:sz w:val="24"/>
          <w:szCs w:val="24"/>
        </w:rPr>
        <w:t>刮涂时按TB-202：32.5R水泥：50~100目砂=1：2.5：2.5（重量比）比例搅拌均匀（可加水调节施工稠度），用胶刮板刮涂于基面。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第二道</w:t>
      </w:r>
      <w:r>
        <w:rPr>
          <w:rFonts w:hint="eastAsia" w:ascii="宋体" w:hAnsi="宋体" w:eastAsia="宋体" w:cs="宋体"/>
          <w:sz w:val="24"/>
          <w:szCs w:val="24"/>
        </w:rPr>
        <w:t>刮涂时按TB-202：32.5R水泥：砂=1：2：2（重量比）搅拌均匀，用胶刮涂刮。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要求必须把基面的空隙填平，密封，保证干固后没有针孔，表面平整，不影响后面施工。</w:t>
      </w:r>
      <w:r>
        <w:rPr>
          <w:rFonts w:hint="eastAsia" w:ascii="宋体" w:hAnsi="宋体" w:eastAsia="宋体" w:cs="宋体"/>
          <w:sz w:val="24"/>
          <w:szCs w:val="24"/>
        </w:rPr>
        <w:t>（基面粗糙、空隙较大，用量应适当增大）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若还有出现上实情况，须进行第三道或第四道刮涂（以第二道刮涂的比例），直至达到以上要求。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TB-202封完沥青后，必须固化（48小时后）才能做下道工序，否则会出现粘附不牢、起鼓的现象。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温度低和湿度高时会使固化时间延长。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3、面层材料施工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3.1在滚涂好或者封闭好的基础上，薄刮TB-003E 每平米用量0.6kg左右，封闭地面毛细孔，为施工下道工序准备。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3.2发泡弹性层（TB-002E）</w:t>
      </w:r>
    </w:p>
    <w:p>
      <w:pPr>
        <w:autoSpaceDE w:val="0"/>
        <w:autoSpaceDN w:val="0"/>
        <w:spacing w:line="360" w:lineRule="auto"/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将TB-002E按规定比例(重量比)A:B=100:9先把B摇均匀加入到TB-002E（A）里，搅拌均匀，搅拌过程中不小于1分钟，材料搅拌好后必须在20分钟内用完。由于材料反应快，预先将材料分布好，免得施工时等材料而出现明显的交接痕。此层材料用齿刮进行刮涂，根据厚度标准进行用量分配刮涂。TB-002E为一道刮涂。固化时间约为8小时，温度低于28℃,湿度低于70%时要根据调节剂用量表参考值适当加入。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添加</w:t>
      </w:r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温度调节剂和湿度调节剂时要先加到材料B组份里搅拌均匀后再加入到A组份里搅拌均匀，根据现场的温度和湿度情况在施工前先做小试，加入合理的调节剂用量，调整合适厚度。</w:t>
      </w:r>
      <w:r>
        <w:rPr>
          <w:rFonts w:hint="eastAsia" w:ascii="宋体" w:hAnsi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注意控制每道之间的用量，先把齿刮板厚度调整好，把平均用量定好。刮涂过程中齿会磨损，每刮一段距离要进行齿刮的厚度调整，确保球场的</w:t>
      </w:r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结构厚度分布</w:t>
      </w:r>
      <w:r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4、积水修补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发泡弹性层固化后进行积水测试，把积水标记下来，用加强层材料进行修补。</w:t>
      </w:r>
    </w:p>
    <w:p>
      <w:pPr>
        <w:autoSpaceDE w:val="0"/>
        <w:autoSpaceDN w:val="0"/>
        <w:spacing w:line="360" w:lineRule="auto"/>
        <w:outlineLvl w:val="0"/>
        <w:rPr>
          <w:rFonts w:ascii="宋体" w:hAnsi="宋体"/>
          <w:color w:val="000000" w:themeColor="text1"/>
          <w:sz w:val="30"/>
          <w:szCs w:val="30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加强层（TB-003E）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将TB-003E按规定比例搅拌均匀，搅拌过程中不小于1分钟，材料搅拌好后必须在20分钟内用完。由于材料反应快，预先将材料分布好，免得施工时要等材料而出现明显的交接痕。此层材料用齿刮或胶刮板进行刮涂，根据厚度标准进行用量分配刮涂。固化时间约为8小时，温度低于28℃,湿度低于70%时要根据调节剂用量表参考值适当加入，调节固化时间。</w:t>
      </w:r>
    </w:p>
    <w:p>
      <w:pPr>
        <w:autoSpaceDE w:val="0"/>
        <w:autoSpaceDN w:val="0"/>
        <w:spacing w:line="360" w:lineRule="auto"/>
        <w:outlineLvl w:val="0"/>
        <w:rPr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6、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打磨处理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强层固化后，用专用砂带机带60目的砂纸进行整体打磨处理，局部凹凸处打磨不到位的，用小的角磨机进行局部打磨，尽可能全部打磨一遍。目地是提高自面层和加强层之间的粘附，粘附更牢。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注：1、打磨过程中要注意不要把砂带机调得过深，这样会使加强层出现打磨机痕迹。2、此道工序必须要打磨，场地大的，可以一边打磨一边喷涂面层。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）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7、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面漆层(TB-205E)</w:t>
      </w:r>
    </w:p>
    <w:p>
      <w:pPr>
        <w:autoSpaceDE w:val="0"/>
        <w:autoSpaceDN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 xml:space="preserve">面漆层为双组份水性丙烯酸材料，按规定配比把A、B两组份加入，搅拌1-2分钟，均匀后，加入适量的球场专用砂，充分搅拌均匀，再按照不同的施工方法，加入适合使用的水量，搅拌均匀，即可使用，分1～2道施工于加强层面上。     </w:t>
      </w:r>
    </w:p>
    <w:p>
      <w:pPr>
        <w:autoSpaceDE w:val="0"/>
        <w:autoSpaceDN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砂量：篮球场第一道加入20%篮球场专用砂，第二道加入10%或者不加；网球场加入30-40%的网球场专用砂；羽毛球和排球场一般不加砂。</w:t>
      </w:r>
    </w:p>
    <w:p>
      <w:pPr>
        <w:autoSpaceDE w:val="0"/>
        <w:autoSpaceDN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水量：一般加入20-50%（按TB-205E重量计算，根据现场实际情况而定），水量加入太多，会出现浮色现象。施工方式：用专用滚筒滚涂，或用胶刮刮涂，或用专用喷枪。配比不准，会影响面层的固化效果，直接影响面层的使用性能，甚至脱落。温度低于5℃不适宜施工；室内施工的，必须保持良好通风，通风不好的必须延长固化时间。表干后保持24小时无水浸泡。</w:t>
      </w:r>
    </w:p>
    <w:p>
      <w:pPr>
        <w:autoSpaceDE w:val="0"/>
        <w:autoSpaceDN w:val="0"/>
        <w:spacing w:line="360" w:lineRule="auto"/>
        <w:outlineLvl w:val="0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8、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划线 (TB-207)</w:t>
      </w:r>
    </w:p>
    <w:p>
      <w:pPr>
        <w:autoSpaceDE w:val="0"/>
        <w:autoSpaceDN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按标准尺寸量度定位，标出界线位置，用美纹纸沿界线两边贴在球场上，用专用划线漆（TB-207）涂刷于美纹纸间，待表干后撕掉美纹纸。TB-207为双组份材料，必须按规定比例把A、B两组份充分混合均匀，分两道涂刷。若球场表面为粗糙面，第一道可加20%专用砂涂刷，以防渗边。</w:t>
      </w:r>
    </w:p>
    <w:p>
      <w:pPr>
        <w:autoSpaceDE w:val="0"/>
        <w:autoSpaceDN w:val="0"/>
        <w:spacing w:line="360" w:lineRule="auto"/>
        <w:outlineLvl w:val="0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9、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注意事项：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9.1、材料到场后，要清点好材料，合理分配好每道材料的用量，做好现场施工计划。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9.2、在施工TB-002E、TB-003E时要注意施工气温。夏天到来，避免高温施工，建议施工时间在早上5：00→10：00、下午15：00以后这时间段进行施工，地表温度不超过45℃。温度高会导致材料固化过程中表面干的快，底层干的慢，导致出现有起馒头泡现象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9.3、TB-002E、TB-003E里的B组份要先摇均匀后再加入材料里搅拌均匀。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9.4、环保型材料在使用时要注意操作时间，一般材料搅拌好后要在１５－２０分钟里要用完。时间过长否则材料会出现越难刮，材料反应后刮在场地上会出现发泡不均匀或者发泡不起来的现象。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9.5、弹性层和加强层施工时间2小时内不能遇到下雨，否则表面会给雨水打坏。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9.6、弹性层和加强层施工完后爆晒的时间不得超过5天，否则表面会出现粉化现象，若出现此情况，要把表面进行打磨，滚涂一道TB-201固化后，接着做下一道的施工。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9.7、 每道工序施工过程必须注意计算材料的耗用量，确保材料使用的均匀性；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9.8、施工整过程每一道工序施工前必须保持表面清洁；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9.9、 室内场地必须保证良好的通风效果；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9.10、 场地铺设后需保持72小时以上才能投入使用。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三、丙烯酸球场技术要求（网球场）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1、确保产品质量和环保要求的产品参数及生产厂家要求。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1.1、国家工商部门注册的品牌商标证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1.2、材料通过欧盟CE认证。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1.3、全国质量检验稳定合格产品证书。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1.4、材料通过SGS公司的卤素的检测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测试方法：EN 14582:2007方法测定，采用IC进行分析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测试项目         单位      MDL        样品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氟               mg/kg     50        未检出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氯               mg/kg     50        未检出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溴               mg/kg     50        未检出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碘               mg/kg     50        未检出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1.5、材料通过SGS公司的甲醛的检测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测试方法：GZTC CHEM-SOP-059-03 测定，用UV-Vis分析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测试项目         单位      MDL        样品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甲醛             g/kg      0.02       未检出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1.6、材料通过SGS公司挥发性有机化合物（VOC）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测试方法：GZTC CHEM-TOP-050-14,分板仪器为气相色谱/质谱仪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测试项目          CAS NO.        单位      MDL        样品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苯                71-43-2         mg/kg     5        未检出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甲苯             108-88-3          mg/kg    5        未检出</w:t>
      </w:r>
    </w:p>
    <w:p>
      <w:pPr>
        <w:adjustRightInd w:val="0"/>
        <w:spacing w:line="360" w:lineRule="auto"/>
        <w:ind w:left="360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二甲苯          1330-20-7          mg/kg    5        未检出</w:t>
      </w:r>
    </w:p>
    <w:p>
      <w:pPr>
        <w:adjustRightInd w:val="0"/>
        <w:spacing w:line="360" w:lineRule="auto"/>
        <w:ind w:left="36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1.7、是中国网球协会场地器材协会会员单位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1.8、通过中国建材市场协会的绿色建材产品认证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1.9、材料通过SGS公司的欧盟ROSH指令2011/65/EU限值要求的检测</w:t>
      </w:r>
    </w:p>
    <w:p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测试方法： </w:t>
      </w:r>
    </w:p>
    <w:p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（1）参考IEC 62321-5:2013,用ICP-OES测定镉的含量</w:t>
      </w:r>
    </w:p>
    <w:p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（2）参考IEC 62321-5:2013,用ICP-OES测定铅的含量</w:t>
      </w:r>
    </w:p>
    <w:p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（3）参考IEC 62321-4:2013,用ICP-OES测定汞的含量</w:t>
      </w:r>
    </w:p>
    <w:p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（4）参考IEC 62321:2008，用紫外-可见分光光度计比色法测定六价铬的含量</w:t>
      </w:r>
    </w:p>
    <w:p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（5）参考IEC 62321-6:2015，用GC-MS测定PBBs(多溴联苯)和PBDEs(多溴二苯醚)的含量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4"/>
        <w:gridCol w:w="1380"/>
        <w:gridCol w:w="1230"/>
        <w:gridCol w:w="1020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测试项目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限值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MDL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镉（Cd）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铅（Pb）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汞（Hg）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六价铬（Cr(VI)）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多溴联苯之和（PBBs）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七溴联苯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八溴联苯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九溴联苯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十溴联苯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多溴二苯醚之和(PBDEs)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一溴二苯醚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二溴二苯醚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mg/kg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ND</w:t>
            </w:r>
          </w:p>
        </w:tc>
      </w:tr>
    </w:tbl>
    <w:p>
      <w:pPr>
        <w:adjustRightInd w:val="0"/>
        <w:spacing w:line="48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1.10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、材料通过GB/T20033.2-2005在国家体育用品质检中心的物理性能检测。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1.11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、丙烯酸材料通过上海团体标准T/310101002-C003-2016在标准的国家高分子工程材料及制品质量监督检验中心的检测。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1.12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、材料通过HJ/T201-2005《环境标志产品技术要求 水性涂料》的检测全部合格</w:t>
      </w:r>
    </w:p>
    <w:tbl>
      <w:tblPr>
        <w:tblStyle w:val="17"/>
        <w:tblW w:w="8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3990"/>
        <w:gridCol w:w="1710"/>
        <w:gridCol w:w="1065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指标及技术要求（外墙涂料）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单项判定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挥发性有机化合物的含量（VOC）限值（g/L）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≤150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卤代烃（以二氯甲烷计）/（mg/kg）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≤500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未检出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苯、甲苯、二甲苯、乙苯的总量/（mg/kg）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≤500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未检出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甲醛/（mg/kg）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≤100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铅/（mg/kg）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≤90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&lt;10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镉/（mg/kg）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≤75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&lt;5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铬/（mg/kg）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≤60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&lt;5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990" w:type="dxa"/>
            <w:shd w:val="clear" w:color="auto" w:fill="auto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汞/（mg/kg）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≤60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&lt;1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</w:tbl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hint="default" w:ascii="宋体" w:hAnsi="宋体" w:eastAsia="宋体" w:cs="宋体"/>
          <w:b w:val="0"/>
          <w:bCs w:val="0"/>
          <w:color w:val="0000FF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1.13推荐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品牌要求：</w:t>
      </w:r>
      <w:bookmarkStart w:id="0" w:name="_GoBack"/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柏士壁、德克瑞、格瑞赛</w:t>
      </w:r>
    </w:p>
    <w:bookmarkEnd w:id="0"/>
    <w:p/>
    <w:p>
      <w:pPr>
        <w:autoSpaceDE w:val="0"/>
        <w:autoSpaceDN w:val="0"/>
        <w:spacing w:line="360" w:lineRule="auto"/>
        <w:rPr>
          <w:rFonts w:ascii="宋体" w:hAnsi="宋体"/>
        </w:rPr>
      </w:pPr>
    </w:p>
    <w:p>
      <w:pPr>
        <w:autoSpaceDE w:val="0"/>
        <w:autoSpaceDN w:val="0"/>
        <w:spacing w:line="360" w:lineRule="auto"/>
        <w:rPr>
          <w:rFonts w:ascii="宋体" w:hAnsi="宋体"/>
        </w:rPr>
      </w:pPr>
    </w:p>
    <w:p>
      <w:pPr>
        <w:autoSpaceDE w:val="0"/>
        <w:autoSpaceDN w:val="0"/>
        <w:spacing w:line="360" w:lineRule="auto"/>
        <w:rPr>
          <w:rFonts w:ascii="宋体" w:hAnsi="宋体"/>
        </w:rPr>
      </w:pP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2"/>
        <w:rPr>
          <w:rFonts w:ascii="宋体" w:hAnsi="宋体"/>
        </w:rPr>
      </w:pPr>
    </w:p>
    <w:p>
      <w:pPr>
        <w:autoSpaceDE w:val="0"/>
        <w:autoSpaceDN w:val="0"/>
        <w:spacing w:line="360" w:lineRule="auto"/>
        <w:rPr>
          <w:rFonts w:ascii="宋体" w:hAnsi="宋体"/>
        </w:rPr>
      </w:pPr>
    </w:p>
    <w:p>
      <w:pPr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四、丙烯酸球场面层施工方案（网球场）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1、施工程序框图</w:t>
      </w:r>
    </w:p>
    <w:p>
      <w:pPr>
        <w:pStyle w:val="13"/>
        <w:spacing w:line="460" w:lineRule="exact"/>
        <w:ind w:firstLine="960" w:firstLineChars="400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bdr w:val="single" w:color="auto" w:sz="4" w:space="0"/>
        </w:rPr>
        <w:t xml:space="preserve"> 施工前准备 </w:t>
      </w:r>
      <w:r>
        <w:rPr>
          <w:rFonts w:hint="eastAsia" w:ascii="宋体" w:hAnsi="宋体"/>
          <w:sz w:val="24"/>
        </w:rPr>
        <w:t xml:space="preserve"> → </w:t>
      </w:r>
      <w:r>
        <w:rPr>
          <w:rFonts w:hint="eastAsia" w:ascii="宋体" w:hAnsi="宋体"/>
          <w:sz w:val="24"/>
          <w:bdr w:val="single" w:color="auto" w:sz="4" w:space="0"/>
        </w:rPr>
        <w:t xml:space="preserve"> 清洗、试水、补平 </w:t>
      </w:r>
      <w:r>
        <w:rPr>
          <w:rFonts w:hint="eastAsia" w:ascii="宋体" w:hAnsi="宋体"/>
          <w:sz w:val="24"/>
        </w:rPr>
        <w:t xml:space="preserve"> → </w:t>
      </w:r>
      <w:r>
        <w:rPr>
          <w:rFonts w:hint="eastAsia" w:ascii="宋体" w:hAnsi="宋体"/>
          <w:sz w:val="24"/>
          <w:bdr w:val="single" w:color="auto" w:sz="4" w:space="0"/>
        </w:rPr>
        <w:t xml:space="preserve"> 定位、放线 </w:t>
      </w:r>
      <w:r>
        <w:rPr>
          <w:rFonts w:hint="eastAsia" w:ascii="宋体" w:hAnsi="宋体"/>
          <w:sz w:val="24"/>
        </w:rPr>
        <w:t xml:space="preserve"> → </w:t>
      </w:r>
      <w:r>
        <w:rPr>
          <w:rFonts w:hint="eastAsia" w:ascii="宋体" w:hAnsi="宋体"/>
          <w:sz w:val="24"/>
          <w:bdr w:val="single" w:color="auto" w:sz="4" w:space="0"/>
        </w:rPr>
        <w:t xml:space="preserve"> 底油打底 </w:t>
      </w:r>
    </w:p>
    <w:p>
      <w:pPr>
        <w:pStyle w:val="13"/>
        <w:spacing w:line="240" w:lineRule="auto"/>
        <w:ind w:firstLine="0" w:firstLineChars="0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                 ↓ </w:t>
      </w:r>
    </w:p>
    <w:p>
      <w:pPr>
        <w:pStyle w:val="13"/>
        <w:spacing w:line="460" w:lineRule="exact"/>
        <w:ind w:right="-15" w:rightChars="-7" w:firstLine="0" w:firstLineChars="0"/>
        <w:jc w:val="center"/>
        <w:outlineLvl w:val="9"/>
        <w:rPr>
          <w:rFonts w:ascii="宋体" w:hAnsi="宋体"/>
          <w:sz w:val="24"/>
          <w:bdr w:val="single" w:color="auto" w:sz="4" w:space="0"/>
        </w:rPr>
      </w:pPr>
      <w:r>
        <w:rPr>
          <w:rFonts w:hint="eastAsia" w:ascii="宋体" w:hAnsi="宋体"/>
          <w:sz w:val="24"/>
          <w:bdr w:val="single" w:color="auto" w:sz="4" w:space="0"/>
        </w:rPr>
        <w:t xml:space="preserve">竣工验收 </w:t>
      </w:r>
      <w:r>
        <w:rPr>
          <w:rFonts w:hint="eastAsia" w:ascii="宋体" w:hAnsi="宋体"/>
          <w:sz w:val="24"/>
        </w:rPr>
        <w:t xml:space="preserve"> ← </w:t>
      </w:r>
      <w:r>
        <w:rPr>
          <w:rFonts w:hint="eastAsia" w:ascii="宋体" w:hAnsi="宋体"/>
          <w:sz w:val="24"/>
          <w:bdr w:val="single" w:color="auto" w:sz="4" w:space="0"/>
        </w:rPr>
        <w:t xml:space="preserve"> 画线 </w:t>
      </w:r>
      <w:r>
        <w:rPr>
          <w:rFonts w:hint="eastAsia" w:ascii="宋体" w:hAnsi="宋体"/>
          <w:sz w:val="24"/>
        </w:rPr>
        <w:t xml:space="preserve"> ← </w:t>
      </w:r>
      <w:r>
        <w:rPr>
          <w:rFonts w:hint="eastAsia" w:ascii="宋体" w:hAnsi="宋体"/>
          <w:sz w:val="24"/>
          <w:bdr w:val="single" w:color="auto" w:sz="4" w:space="0"/>
        </w:rPr>
        <w:t xml:space="preserve"> 丙稀酸面层 </w:t>
      </w:r>
      <w:r>
        <w:rPr>
          <w:rFonts w:hint="eastAsia" w:ascii="宋体" w:hAnsi="宋体"/>
          <w:sz w:val="24"/>
        </w:rPr>
        <w:t xml:space="preserve"> ← </w:t>
      </w:r>
      <w:r>
        <w:rPr>
          <w:rFonts w:hint="eastAsia" w:ascii="宋体" w:hAnsi="宋体"/>
          <w:sz w:val="24"/>
          <w:bdr w:val="single" w:color="auto" w:sz="4" w:space="0"/>
        </w:rPr>
        <w:t xml:space="preserve"> 耐磨层 </w:t>
      </w:r>
      <w:r>
        <w:rPr>
          <w:rFonts w:hint="eastAsia" w:ascii="宋体" w:hAnsi="宋体"/>
          <w:sz w:val="24"/>
        </w:rPr>
        <w:t xml:space="preserve"> ← </w:t>
      </w:r>
      <w:r>
        <w:rPr>
          <w:rFonts w:hint="eastAsia" w:ascii="宋体" w:hAnsi="宋体"/>
          <w:sz w:val="24"/>
          <w:bdr w:val="single" w:color="auto" w:sz="4" w:space="0"/>
        </w:rPr>
        <w:t xml:space="preserve"> 摊铺中层 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2、施工前准备</w:t>
      </w:r>
    </w:p>
    <w:p>
      <w:pPr>
        <w:pStyle w:val="13"/>
        <w:spacing w:line="240" w:lineRule="auto"/>
        <w:ind w:firstLineChars="0"/>
        <w:outlineLvl w:val="2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2.</w:t>
      </w:r>
      <w:r>
        <w:rPr>
          <w:rFonts w:hint="eastAsia" w:ascii="宋体" w:hAnsi="宋体"/>
          <w:sz w:val="28"/>
        </w:rPr>
        <w:t>1、根据设计图纸及设计要求，将专用工具、设备和施工用主材、辅材运至施工区，并分类，按施工平面布置图并结合现场放置好，以便于施工。</w:t>
      </w:r>
    </w:p>
    <w:p>
      <w:pPr>
        <w:pStyle w:val="13"/>
        <w:spacing w:line="240" w:lineRule="auto"/>
        <w:ind w:firstLineChars="0"/>
        <w:outlineLvl w:val="2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2.</w:t>
      </w:r>
      <w:r>
        <w:rPr>
          <w:rFonts w:hint="eastAsia" w:ascii="宋体" w:hAnsi="宋体"/>
          <w:sz w:val="28"/>
        </w:rPr>
        <w:t>2、按原料批号作小试验，观察实地铺设情况。</w:t>
      </w:r>
    </w:p>
    <w:p>
      <w:pPr>
        <w:pStyle w:val="13"/>
        <w:spacing w:line="240" w:lineRule="auto"/>
        <w:ind w:firstLineChars="0"/>
        <w:outlineLvl w:val="2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2.</w:t>
      </w:r>
      <w:r>
        <w:rPr>
          <w:rFonts w:hint="eastAsia" w:ascii="宋体" w:hAnsi="宋体"/>
          <w:sz w:val="28"/>
        </w:rPr>
        <w:t>3、按设计图纸定位放线。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3、场地清洗、试水、补平</w:t>
      </w:r>
    </w:p>
    <w:p>
      <w:pPr>
        <w:pStyle w:val="13"/>
        <w:spacing w:line="240" w:lineRule="auto"/>
        <w:ind w:left="410" w:firstLine="0" w:firstLineChars="0"/>
        <w:outlineLvl w:val="2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3.</w:t>
      </w:r>
      <w:r>
        <w:rPr>
          <w:rFonts w:hint="eastAsia" w:ascii="宋体" w:hAnsi="宋体"/>
          <w:sz w:val="28"/>
        </w:rPr>
        <w:t>1、将基础表面清洗、清扫干净，并检测平整度。</w:t>
      </w:r>
    </w:p>
    <w:p>
      <w:pPr>
        <w:pStyle w:val="13"/>
        <w:spacing w:line="240" w:lineRule="auto"/>
        <w:ind w:left="410" w:firstLine="0" w:firstLineChars="0"/>
        <w:outlineLvl w:val="2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3.</w:t>
      </w:r>
      <w:r>
        <w:rPr>
          <w:rFonts w:hint="eastAsia" w:ascii="宋体" w:hAnsi="宋体"/>
          <w:sz w:val="28"/>
        </w:rPr>
        <w:t>2、对平整度较差的地方（误差＞</w:t>
      </w:r>
      <w:r>
        <w:rPr>
          <w:rFonts w:ascii="宋体" w:hAnsi="宋体"/>
          <w:sz w:val="28"/>
        </w:rPr>
        <w:t>3mm</w:t>
      </w:r>
      <w:r>
        <w:rPr>
          <w:rFonts w:hint="eastAsia" w:ascii="宋体" w:hAnsi="宋体"/>
          <w:sz w:val="28"/>
        </w:rPr>
        <w:t>），用球场专用丙烯酸填充剂补平一道以掺40-70目石英砂、水泥和水，填平场内凹陷处,减低积水现象，使球场地面达到标准要求：直尺测量3m内地面高差不超过3mm。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4、丙烯酸底油打底（二层）</w:t>
      </w:r>
    </w:p>
    <w:p>
      <w:pPr>
        <w:pStyle w:val="13"/>
        <w:spacing w:line="240" w:lineRule="auto"/>
        <w:ind w:firstLine="537" w:firstLineChars="192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在基础处理完毕后,确保场地已干燥和干净后可滚涂底料,滚涂要达到均匀不遗漏。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5、用丙烯酸全场涂刮二层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中层：用丙烯酸刮涂二层；是一种粘稠的，硬性的，100%丙烯酸乳胶。混合有特别挑选的丙烯酸面层材料。加水稀释后刮涂，为球场提供合适的硬性，使打球更舒适。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耐磨层：用丙烯酸面涂二层；用于丙烯酸中层之上。用于找平粗层的沙粒形成的粗糙表面。使用便提供了平滑的优质硬性层。有利于之后丙烯酸涂料的施工。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6、加强层</w:t>
      </w:r>
    </w:p>
    <w:p>
      <w:pPr>
        <w:pStyle w:val="13"/>
        <w:spacing w:line="240" w:lineRule="auto"/>
        <w:ind w:firstLine="56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用丙烯酸填充剂全场涂刮一层以丙烯酸填充剂兑水掺60-80目石英砂。充分搅拌后用橡胶刮耙刮涂。在底层之上再提供一层均匀浓密的垫层,增加球场强度,提高整个球场面层的品质。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GB" w:eastAsia="zh-CN" w:bidi="ar-SA"/>
        </w:rPr>
        <w:t>、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丙稀酸面层</w:t>
      </w:r>
    </w:p>
    <w:p>
      <w:pPr>
        <w:ind w:firstLine="280" w:firstLineChars="100"/>
        <w:outlineLvl w:val="2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7.</w:t>
      </w:r>
      <w:r>
        <w:rPr>
          <w:rFonts w:hint="eastAsia" w:ascii="宋体" w:hAnsi="宋体"/>
          <w:sz w:val="28"/>
        </w:rPr>
        <w:t>1、丙烯酸树脂底层（两层）</w:t>
      </w:r>
    </w:p>
    <w:p>
      <w:pPr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用丙烯酸色料(加石英砂)全场涂刮二层以丙烯酸色料兑水加 80-100目石英砂, </w:t>
      </w:r>
    </w:p>
    <w:p>
      <w:pPr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充分搅拌后用橡胶刮耙刮涂。使面层有均匀一致的纹理效果,增加耐磨功能及调节球速。</w:t>
      </w:r>
    </w:p>
    <w:p>
      <w:pPr>
        <w:ind w:firstLine="280" w:firstLineChars="100"/>
        <w:outlineLvl w:val="2"/>
        <w:rPr>
          <w:rFonts w:ascii="宋体" w:hAnsi="宋体"/>
          <w:sz w:val="28"/>
          <w:lang w:val="en-GB"/>
        </w:rPr>
      </w:pPr>
      <w:r>
        <w:rPr>
          <w:rFonts w:hint="eastAsia" w:ascii="宋体" w:hAnsi="宋体"/>
          <w:sz w:val="28"/>
          <w:lang w:val="en-US" w:eastAsia="zh-CN"/>
        </w:rPr>
        <w:t>7.</w:t>
      </w:r>
      <w:r>
        <w:rPr>
          <w:rFonts w:hint="eastAsia" w:ascii="宋体" w:hAnsi="宋体"/>
          <w:sz w:val="28"/>
        </w:rPr>
        <w:t>2、彩色丙烯酸树脂面层（两层）</w:t>
      </w:r>
    </w:p>
    <w:p>
      <w:pPr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用丙烯酸色料全场涂刮二层以丙烯酸色料兑水稀释，不加砂充分搅拌后用橡胶刮耙涂刮。使得面层色彩鲜艳悦目，并且对气候和紫外线辐射具有很强的抵抗力,球场面层更美观耐久。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8、画线（两层）</w:t>
      </w:r>
    </w:p>
    <w:p>
      <w:pPr>
        <w:pStyle w:val="13"/>
        <w:spacing w:line="240" w:lineRule="auto"/>
        <w:ind w:firstLine="280" w:firstLineChars="100"/>
        <w:outlineLvl w:val="2"/>
        <w:rPr>
          <w:rFonts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  <w:lang w:val="en-US" w:eastAsia="zh-CN"/>
        </w:rPr>
        <w:t>8.</w:t>
      </w:r>
      <w:r>
        <w:rPr>
          <w:rFonts w:hint="eastAsia" w:ascii="宋体" w:hAnsi="宋体" w:cs="宋体"/>
          <w:color w:val="333333"/>
          <w:sz w:val="28"/>
          <w:szCs w:val="28"/>
        </w:rPr>
        <w:t>1、</w:t>
      </w:r>
      <w:r>
        <w:rPr>
          <w:rFonts w:ascii="宋体" w:hAnsi="宋体" w:cs="Arial"/>
          <w:color w:val="333333"/>
          <w:sz w:val="28"/>
          <w:szCs w:val="28"/>
          <w:lang w:eastAsia="zh-Hans"/>
        </w:rPr>
        <w:t>根据图纸弹出粉笔线</w:t>
      </w:r>
      <w:r>
        <w:rPr>
          <w:rFonts w:hint="eastAsia" w:ascii="宋体" w:hAnsi="宋体" w:cs="Arial"/>
          <w:color w:val="333333"/>
          <w:sz w:val="28"/>
          <w:szCs w:val="28"/>
        </w:rPr>
        <w:t>。</w:t>
      </w:r>
    </w:p>
    <w:p>
      <w:pPr>
        <w:pStyle w:val="13"/>
        <w:spacing w:line="240" w:lineRule="auto"/>
        <w:ind w:firstLine="280" w:firstLineChars="100"/>
        <w:outlineLvl w:val="2"/>
        <w:rPr>
          <w:rFonts w:ascii="宋体" w:hAnsi="宋体" w:cs="Arial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  <w:lang w:val="en-US" w:eastAsia="zh-CN"/>
        </w:rPr>
        <w:t>8.</w:t>
      </w:r>
      <w:r>
        <w:rPr>
          <w:rFonts w:hint="eastAsia" w:ascii="宋体" w:hAnsi="宋体" w:cs="宋体"/>
          <w:color w:val="333333"/>
          <w:sz w:val="28"/>
          <w:szCs w:val="28"/>
        </w:rPr>
        <w:t>2、</w:t>
      </w:r>
      <w:r>
        <w:rPr>
          <w:rFonts w:ascii="宋体" w:hAnsi="宋体" w:cs="Arial"/>
          <w:color w:val="333333"/>
          <w:sz w:val="28"/>
          <w:szCs w:val="28"/>
          <w:lang w:eastAsia="zh-Hans"/>
        </w:rPr>
        <w:t>按线贴好分色纸，并用软布反复压实，确保刷划线漆时不渗漏。</w:t>
      </w:r>
    </w:p>
    <w:p>
      <w:pPr>
        <w:pStyle w:val="13"/>
        <w:spacing w:line="240" w:lineRule="auto"/>
        <w:ind w:firstLine="280" w:firstLineChars="100"/>
        <w:outlineLvl w:val="2"/>
        <w:rPr>
          <w:rFonts w:ascii="宋体" w:hAnsi="宋体" w:cs="宋体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sz w:val="28"/>
          <w:szCs w:val="28"/>
          <w:lang w:val="en-US" w:eastAsia="zh-CN"/>
        </w:rPr>
        <w:t>8.</w:t>
      </w:r>
      <w:r>
        <w:rPr>
          <w:rFonts w:hint="eastAsia" w:ascii="宋体" w:hAnsi="宋体" w:cs="宋体"/>
          <w:color w:val="333333"/>
          <w:sz w:val="28"/>
          <w:szCs w:val="28"/>
        </w:rPr>
        <w:t>3、</w:t>
      </w:r>
      <w:r>
        <w:rPr>
          <w:rFonts w:ascii="宋体" w:hAnsi="宋体" w:cs="Arial"/>
          <w:color w:val="333333"/>
          <w:sz w:val="28"/>
          <w:szCs w:val="28"/>
          <w:lang w:eastAsia="zh-Hans"/>
        </w:rPr>
        <w:t>复测：对已贴好分色纸的的线进行重新检查，确认线宽和尺寸都为准确的情况下才可进行下道工序。</w:t>
      </w:r>
    </w:p>
    <w:p>
      <w:pPr>
        <w:pStyle w:val="13"/>
        <w:spacing w:line="240" w:lineRule="auto"/>
        <w:ind w:firstLine="280" w:firstLineChars="100"/>
        <w:outlineLvl w:val="2"/>
        <w:rPr>
          <w:rFonts w:ascii="宋体" w:hAnsi="宋体" w:cs="Arial"/>
          <w:color w:val="333333"/>
          <w:sz w:val="28"/>
          <w:szCs w:val="28"/>
        </w:rPr>
      </w:pPr>
      <w:r>
        <w:rPr>
          <w:rFonts w:hint="eastAsia" w:ascii="宋体" w:hAnsi="宋体" w:cs="Arial"/>
          <w:color w:val="333333"/>
          <w:sz w:val="28"/>
          <w:szCs w:val="28"/>
          <w:lang w:val="en-US" w:eastAsia="zh-CN"/>
        </w:rPr>
        <w:t>8.</w:t>
      </w:r>
      <w:r>
        <w:rPr>
          <w:rFonts w:hint="eastAsia" w:ascii="宋体" w:hAnsi="宋体" w:cs="Arial"/>
          <w:color w:val="333333"/>
          <w:sz w:val="28"/>
          <w:szCs w:val="28"/>
        </w:rPr>
        <w:t>4、</w:t>
      </w:r>
      <w:r>
        <w:rPr>
          <w:rFonts w:ascii="宋体" w:hAnsi="宋体" w:cs="Arial"/>
          <w:color w:val="333333"/>
          <w:sz w:val="28"/>
          <w:szCs w:val="28"/>
          <w:lang w:eastAsia="zh-Hans"/>
        </w:rPr>
        <w:t>对交接处作为仔细处理,遇有低洼处要先用细砂补平,处理平滑后才可刷涂第一次线漆</w:t>
      </w:r>
      <w:r>
        <w:rPr>
          <w:rFonts w:hint="eastAsia" w:ascii="宋体" w:hAnsi="宋体" w:cs="Arial"/>
          <w:color w:val="333333"/>
          <w:sz w:val="28"/>
          <w:szCs w:val="28"/>
        </w:rPr>
        <w:t>。</w:t>
      </w:r>
    </w:p>
    <w:p>
      <w:pPr>
        <w:pStyle w:val="13"/>
        <w:spacing w:line="240" w:lineRule="auto"/>
        <w:ind w:firstLine="280" w:firstLineChars="100"/>
        <w:outlineLvl w:val="2"/>
        <w:rPr>
          <w:rFonts w:ascii="宋体" w:hAnsi="宋体" w:cs="Arial"/>
          <w:color w:val="333333"/>
          <w:sz w:val="28"/>
          <w:szCs w:val="28"/>
        </w:rPr>
      </w:pPr>
      <w:r>
        <w:rPr>
          <w:rFonts w:hint="eastAsia" w:ascii="宋体" w:hAnsi="宋体" w:cs="Arial"/>
          <w:color w:val="333333"/>
          <w:sz w:val="28"/>
          <w:szCs w:val="28"/>
          <w:lang w:val="en-US" w:eastAsia="zh-CN"/>
        </w:rPr>
        <w:t>8.</w:t>
      </w:r>
      <w:r>
        <w:rPr>
          <w:rFonts w:hint="eastAsia" w:ascii="宋体" w:hAnsi="宋体" w:cs="Arial"/>
          <w:color w:val="333333"/>
          <w:sz w:val="28"/>
          <w:szCs w:val="28"/>
        </w:rPr>
        <w:t>5、</w:t>
      </w:r>
      <w:r>
        <w:rPr>
          <w:rFonts w:ascii="宋体" w:hAnsi="宋体" w:cs="Arial"/>
          <w:color w:val="333333"/>
          <w:sz w:val="28"/>
          <w:szCs w:val="28"/>
          <w:lang w:eastAsia="zh-Hans"/>
        </w:rPr>
        <w:t>沿分色纸内刷涂一遍线漆（禁止刷出线外），要均匀，待干</w:t>
      </w:r>
      <w:r>
        <w:rPr>
          <w:rFonts w:hint="eastAsia" w:ascii="宋体" w:hAnsi="宋体" w:cs="Arial"/>
          <w:color w:val="333333"/>
          <w:sz w:val="28"/>
          <w:szCs w:val="28"/>
        </w:rPr>
        <w:t>。</w:t>
      </w:r>
    </w:p>
    <w:p>
      <w:pPr>
        <w:pStyle w:val="13"/>
        <w:spacing w:line="240" w:lineRule="auto"/>
        <w:ind w:firstLine="280" w:firstLineChars="100"/>
        <w:outlineLvl w:val="2"/>
        <w:rPr>
          <w:rFonts w:ascii="宋体" w:hAnsi="宋体" w:cs="Arial"/>
          <w:color w:val="333333"/>
          <w:sz w:val="28"/>
          <w:szCs w:val="28"/>
        </w:rPr>
      </w:pPr>
      <w:r>
        <w:rPr>
          <w:rFonts w:hint="eastAsia" w:ascii="宋体" w:hAnsi="宋体" w:cs="Arial"/>
          <w:color w:val="333333"/>
          <w:sz w:val="28"/>
          <w:szCs w:val="28"/>
          <w:lang w:val="en-US" w:eastAsia="zh-CN"/>
        </w:rPr>
        <w:t>8.</w:t>
      </w:r>
      <w:r>
        <w:rPr>
          <w:rFonts w:hint="eastAsia" w:ascii="宋体" w:hAnsi="宋体" w:cs="Arial"/>
          <w:color w:val="333333"/>
          <w:sz w:val="28"/>
          <w:szCs w:val="28"/>
        </w:rPr>
        <w:t>6、</w:t>
      </w:r>
      <w:r>
        <w:rPr>
          <w:rFonts w:ascii="宋体" w:hAnsi="宋体" w:cs="Arial"/>
          <w:color w:val="333333"/>
          <w:sz w:val="28"/>
          <w:szCs w:val="28"/>
          <w:lang w:eastAsia="zh-Hans"/>
        </w:rPr>
        <w:t>第一次线漆干燥后刷涂第二遍线漆</w:t>
      </w:r>
      <w:r>
        <w:rPr>
          <w:rFonts w:hint="eastAsia" w:ascii="宋体" w:hAnsi="宋体" w:cs="Arial"/>
          <w:color w:val="333333"/>
          <w:sz w:val="28"/>
          <w:szCs w:val="28"/>
        </w:rPr>
        <w:t>。</w:t>
      </w:r>
    </w:p>
    <w:p>
      <w:pPr>
        <w:pStyle w:val="13"/>
        <w:spacing w:line="240" w:lineRule="auto"/>
        <w:ind w:firstLine="280" w:firstLineChars="100"/>
        <w:outlineLvl w:val="2"/>
        <w:rPr>
          <w:rFonts w:ascii="宋体" w:hAnsi="宋体" w:cs="Arial"/>
          <w:color w:val="333333"/>
          <w:sz w:val="28"/>
          <w:szCs w:val="28"/>
          <w:lang w:eastAsia="zh-Hans"/>
        </w:rPr>
      </w:pPr>
      <w:r>
        <w:rPr>
          <w:rFonts w:hint="eastAsia" w:ascii="宋体" w:hAnsi="宋体" w:cs="宋体"/>
          <w:color w:val="333333"/>
          <w:sz w:val="28"/>
          <w:szCs w:val="28"/>
          <w:lang w:val="en-US" w:eastAsia="zh-CN"/>
        </w:rPr>
        <w:t>8.</w:t>
      </w:r>
      <w:r>
        <w:rPr>
          <w:rFonts w:hint="eastAsia" w:ascii="宋体" w:hAnsi="宋体" w:cs="宋体"/>
          <w:color w:val="333333"/>
          <w:sz w:val="28"/>
          <w:szCs w:val="28"/>
        </w:rPr>
        <w:t>7、</w:t>
      </w:r>
      <w:r>
        <w:rPr>
          <w:rFonts w:ascii="宋体" w:hAnsi="宋体" w:cs="Arial"/>
          <w:color w:val="333333"/>
          <w:sz w:val="28"/>
          <w:szCs w:val="28"/>
          <w:lang w:eastAsia="zh-Hans"/>
        </w:rPr>
        <w:t>撕纸：待二次线漆全部表干后可撕掉分色纸。</w:t>
      </w:r>
    </w:p>
    <w:p>
      <w:pPr>
        <w:pStyle w:val="13"/>
        <w:spacing w:line="240" w:lineRule="auto"/>
        <w:ind w:firstLine="280" w:firstLineChars="100"/>
        <w:rPr>
          <w:rFonts w:ascii="宋体" w:hAnsi="宋体" w:cs="Arial"/>
          <w:color w:val="333333"/>
          <w:sz w:val="28"/>
          <w:szCs w:val="28"/>
          <w:lang w:eastAsia="zh-Hans"/>
        </w:rPr>
      </w:pPr>
    </w:p>
    <w:p>
      <w:pPr>
        <w:pStyle w:val="13"/>
        <w:spacing w:line="240" w:lineRule="auto"/>
        <w:ind w:firstLine="280" w:firstLineChars="100"/>
        <w:rPr>
          <w:rFonts w:ascii="宋体" w:hAnsi="宋体" w:cs="Arial"/>
          <w:color w:val="333333"/>
          <w:sz w:val="28"/>
          <w:szCs w:val="28"/>
          <w:lang w:eastAsia="zh-Hans"/>
        </w:rPr>
      </w:pP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Hans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9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Hans" w:bidi="ar-SA"/>
        </w:rPr>
        <w:t>、常见问题分析解决方法：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1、在施工期间或施工完成初期出现局部鼓泡现象，是因为基础不够清洁、牢固或基础水汽蒸发气压过大，丙烯酸球场面层过厚等原因导致涂层与基面剥离分层。将鼓泡部位扩大面积铲掉至基础层，扫清基面，再用足量底料稀释液涂刷需修补处，让其充分润湿基面，加固基础的同时增加粘结性，再在上面按步骤用相应材料处理补平；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2、涂层表面出现粗粒凸出，原因为施工时受外界影响，涂料中混入粗砂或杂物，可用灰刀铲掉或用手提打磨机磨平。所以，一定要注意扫清浮尘，尽量保持现场清洁；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3、表面涂层反白，原因多是面料涂层未干遇水所至，可在反白处重新涂刮面层给予遮盖，施工时应注意天气情况，温度低于10℃时不能施工，否则会影响质量。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Hans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10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Hans" w:bidi="ar-SA"/>
        </w:rPr>
        <w:t>、注意事项：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1、新混凝土场地需养护固化完成后才能铺设施工；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2、调配涂料时必须充分搅拌均匀；加水搅拌浆料时，水不能一次性加入，必须边搅拌边缓慢加入，以避免浆料体系中石英砂沉淀。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3、底料刷涂前，需保证地面干燥；每一层施工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4、下雨天不能施工，避免在烈日下或湿度大于90%情况下施工；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5、室内场地应保持良好的空气流通；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6、面层涂料完成需至少保持10小时无水浸泡，气温低需更长时间；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  <w:t>7、场地铺设完工后需保持7天以上才能投入使用。</w:t>
      </w:r>
    </w:p>
    <w:p>
      <w:pPr>
        <w:pStyle w:val="13"/>
        <w:spacing w:line="240" w:lineRule="auto"/>
        <w:ind w:firstLine="280" w:firstLineChars="100"/>
        <w:outlineLvl w:val="2"/>
        <w:rPr>
          <w:rFonts w:hint="eastAsia" w:ascii="宋体" w:hAnsi="宋体" w:eastAsia="宋体" w:cs="宋体"/>
          <w:color w:val="333333"/>
          <w:sz w:val="28"/>
          <w:szCs w:val="28"/>
          <w:lang w:val="en-US" w:eastAsia="zh-Hans"/>
        </w:rPr>
      </w:pPr>
    </w:p>
    <w:p>
      <w:pPr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五、组合式围网技术要求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、球场框架：框架管材使用热镀锌防护层，高温喷涂处理工艺，全方位抗锈；立柱不小于Ф76mm，壁厚不小于3mm，横管不小于Ф60mm，壁厚不小于2.5mm；整体围网采用无菱角、半圆弧形的铝合金扁铝（宽20mm×厚4mm）固定在横杆、立柱上，框架颜色为墨绿色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、预埋方式：立柱采用预埋方式，立柱预埋件采用铝合金材质，预埋件尺寸Ф81×1.5×450mm，立柱预埋深度不小于400mm。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、进出口门：场地设有双开门，双开门尺寸不小于2.2m宽、2.33m高，门四周采用不小于80*50mm，管壁厚度不小于2.0mm的优质方型铝型材为边框，内嵌包塑围网，防止刮伤。围网全部螺栓做防锈处理，保证产品全天候环境使用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4、扣件连接方式：采用铸铝扣件在钢管之间相互连接，扣件采用前后组合式安装，扣件形状为两个弧形罩，且对称设置，弧形罩内侧面上弧形凹槽，设有双重加强筋及一体菱形凸台，使横杆可以紧密地固定在弧形罩内，并且不会转动，安装容易，调整方便。以立柱双边扣：长260*高110*壁厚3.5mm,尺寸正负公差值为2mm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5、包塑围网：采用优质低碳镀锌铁丝，铁丝内径Ф2.3±0.05mm，包塑后Ф3.6±0.15mm，包塑围网，网孔45±3mm；包塑围网采用高密度原料HDPE为基料，添加防老化母粒、抗紫外线母粒、色母粒等各种助剂，表面光滑细腻，耐腐蚀、耐高温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color w:val="0000FF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color w:val="0000FF"/>
          <w:kern w:val="2"/>
          <w:sz w:val="28"/>
          <w:szCs w:val="28"/>
          <w:lang w:val="en-US" w:eastAsia="zh-CN" w:bidi="ar-SA"/>
        </w:rPr>
        <w:t>6、管材通过耐划痕性测试，且耐冲击性≥50CM、耐弯曲性≤3mm，提供第三方检测中心出具的具有CMA、CNAS标志的检测报告。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color w:val="0000FF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color w:val="0000FF"/>
          <w:kern w:val="2"/>
          <w:sz w:val="28"/>
          <w:szCs w:val="28"/>
          <w:lang w:val="en-US" w:eastAsia="zh-CN" w:bidi="ar-SA"/>
        </w:rPr>
        <w:t>7、包塑围网通过自然气候暴露试验，测试周期不低于12个月，且测试完成后，产品无变色、粉化、开裂、起泡、剥落，提供第三方检测中心出具的具有CMA、CNAS标志的检测报告。</w:t>
      </w:r>
    </w:p>
    <w:p>
      <w:pPr>
        <w:pStyle w:val="21"/>
        <w:numPr>
          <w:ilvl w:val="0"/>
          <w:numId w:val="0"/>
        </w:numPr>
        <w:spacing w:line="360" w:lineRule="auto"/>
        <w:ind w:leftChars="0"/>
        <w:outlineLvl w:val="1"/>
        <w:rPr>
          <w:rFonts w:hint="eastAsia" w:ascii="Calibri" w:hAnsi="Calibri" w:eastAsia="宋体" w:cs="宋体"/>
          <w:b w:val="0"/>
          <w:bCs w:val="0"/>
          <w:color w:val="0000FF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color w:val="0000FF"/>
          <w:kern w:val="2"/>
          <w:sz w:val="28"/>
          <w:szCs w:val="28"/>
          <w:lang w:val="en-US" w:eastAsia="zh-CN" w:bidi="ar-SA"/>
        </w:rPr>
        <w:t>8、包塑围网在0.45MPa应力负荷下，通过热变形温度＞75℃测试，提供第三方检测中心出具的具有CMA、CNAS标志的检测报告。</w:t>
      </w:r>
    </w:p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六、LED投光灯技术要求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1、电源：采用明纬/英飞特/茂硕国内品牌电源。铰链式电源密封盖设计，内置电源，瞬时启动功能，电源效率高，安全可靠。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2、光源：采用飞利浦/欧司朗/科锐知名品牌。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3、输入电压：AC100-277V,50/60 Hz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4、系统功耗：300W±3.5%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5、色温：5000K±200K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6、平均使用寿命：＞50000小时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7、工作温度：-40℃~+50℃。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8、光学透镜：采用整体式PC透镜，矩阵排列设计，高光效输出。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9、配光设计：有T1,T2,T3三种配光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10、防眩光装置：采用透镜格栅防眩设计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11、防水结构设计+高阻丝硅胶防水圈设计，双重保护，更安全。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12、外形尺寸：739*360*75mm（允许偏离±3%）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  <w:t>13、LED投光灯具有90°偏光投射功能： 灯具发光面在垂直灯杆90°安装状态下，采用按场地尺寸定制的偏光投射配光，最大光强角度H≥12°，V≥55°，提供第三方检测机构出具的检测报告。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lang w:val="en-US" w:eastAsia="zh-CN"/>
        </w:rPr>
        <w:t>14、LED投光灯符合《GB7000.1-2015》标准，防触电保护类型应为I类，防尘、防固体异物和防水等级为IP66，提供第三方检测中心出具的具有CMA、CNAS标志的检测报告。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ind w:leftChars="0"/>
        <w:textAlignment w:val="auto"/>
        <w:rPr>
          <w:rFonts w:hint="eastAsia" w:ascii="宋体" w:hAnsi="宋体" w:eastAsia="宋体" w:cs="宋体"/>
          <w:b/>
          <w:bCs/>
          <w:color w:val="0404F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404F2"/>
          <w:sz w:val="28"/>
          <w:szCs w:val="28"/>
          <w:lang w:val="en-US" w:eastAsia="zh-CN"/>
        </w:rPr>
        <w:t>14、LED投光灯通过国家级检测机构检测，整灯光通量≥43000Lm，灯具效能≥150 lm/w，功率因数≥0.99，提供国家级检测机构出具的具有CMA、CNAS标志的检测报告。</w:t>
      </w:r>
    </w:p>
    <w:p>
      <w:pPr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七、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7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m灯柱技术要求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、灯柱采用热镀锌管材材质的双节式灯柱，灯柱不小于Ф114mm，壁厚不小于3.5mm；灯柱地面以上总高度</w:t>
      </w:r>
      <w:r>
        <w:rPr>
          <w:rFonts w:hint="eastAsia" w:cs="宋体"/>
          <w:b w:val="0"/>
          <w:bCs w:val="0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m。灯柱预埋件采用铝合金材质，预埋件尺寸不小于Ф121×1.5×850mm，灯柱预埋深度不小于800mm。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vertAlign w:val="baseline"/>
          <w:lang w:val="en-US" w:eastAsia="zh-CN"/>
        </w:rPr>
        <w:t>2、灯柱管材符合《GB/T14522-2008》标准，通过耐紫外老化试验≥168h，并达到灰标等级5级，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vertAlign w:val="baseline"/>
        </w:rPr>
        <w:t>提供第三方检测中心出具的具有CMA、CNAS标志的检测报告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  <w:vertAlign w:val="baseline"/>
          <w:lang w:eastAsia="zh-CN"/>
        </w:rPr>
        <w:t>。</w:t>
      </w:r>
    </w:p>
    <w:p>
      <w:pPr>
        <w:spacing w:line="360" w:lineRule="auto"/>
        <w:jc w:val="both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八、综合评分项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1、组合式围网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生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产厂家获得参与国家级、国际级赛事的荣誉证书，提供不少于10个不同项目的相关荣誉证书证明文件。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2、组合式围网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、LED投光灯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生产厂家投保产品质量保证保险、产品责任险、公众责任险、意外伤害险，四证同时提供有效期内的保单。缺项不得分。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3、组合式围网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、LED投光灯、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丙烯酸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生产厂家具有IS09001质量管理体系认证证书、IS014001环境管理体系认证证书、ISO45001职业健康安全管理体系认证证书，三证同时提供有效期内的证书，缺项不得分。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4、丙烯酸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获得国际网球联合会（ITF）认证证书，提供相关证书证明文件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5、组合式围网、丙烯酸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均</w:t>
      </w:r>
      <w:r>
        <w:rPr>
          <w:rFonts w:hint="eastAsia" w:ascii="Calibri" w:hAnsi="Calibri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获得中国环境标志产品认证，提供有效期内的认证证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6、包塑围网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符合持久有机性污染物（POPs)法规（EU）中对POPs物质浓度小于法规限值，且通过28种持久性有机污染物含量检测，提供第三方检测中心出具的检测报告。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7、组合式围网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通过有害物质、邻苯二甲酸酯含量、多环芳烃含量检测，且结果均为：未检出，提供第三方检测中心出具的具有CMA或CNAS标志的检测报告。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8、喷涂管材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涂层符合《GB/T9274-1988》标准，耐酸性≥240小时和碱性耐≥48小时外表均无变化，提供第三方检测中心出具的具有CMA、CNAS标志的检测报告。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9、LED投光灯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通过湿热循环试验，且进行电气和机械性能检测后，产品外观完好无损。提供国家级检测中心出具出具的具有CMA、CNAS标志的检测报告。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10、LED投光灯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通过IK10碰撞防护试验合格，提供第三方检测中心出具的检测报告。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11、LED投光灯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表面粉末通过197种高关注物质（SVHC）筛分测试，其中产品中SVHC测试结果≦0.1%（w/w），提供第三方检测机构出具的检测报告。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12、丙烯酸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通过国家权威测试中心涂料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涂层耐温变性检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测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，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符合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JG/T</w:t>
      </w:r>
      <w:r>
        <w:rPr>
          <w:rFonts w:hint="default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 xml:space="preserve"> 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25-2017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标准，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10次循环无粉化、开裂、剥落、起泡，无明显变色和失光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eastAsia="zh-CN" w:bidi="ar"/>
        </w:rPr>
        <w:t>，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并提供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检验合格的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eastAsia="zh-CN" w:bidi="ar"/>
        </w:rPr>
        <w:t>具有CMA、CNAS标志的检测报告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13、丙烯酸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符合GB/T 22374-2018《地坪涂装材料》标准；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通过耐水性168h检测，产品无起泡、无剥落、无变色；且通过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耐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人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工气候老化性1000h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检测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，粉化0级，变色≤2级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eastAsia="zh-CN" w:bidi="ar"/>
        </w:rPr>
        <w:t>，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并提供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检验合格的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eastAsia="zh-CN" w:bidi="ar"/>
        </w:rPr>
        <w:t>具有CMA、CNAS标志的检测报告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14、丙烯酸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通过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国家权威检验中心防火燃烧性能检测，符合GB 8624-2012《建筑材料及制品燃烧性能分级》标准，燃烧性能达到难燃B1(B-s1,t0)级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eastAsia="zh-CN" w:bidi="ar"/>
        </w:rPr>
        <w:t>，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并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bidi="ar"/>
        </w:rPr>
        <w:t>提供检测中心官网查询截图及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val="en-US" w:eastAsia="zh-CN" w:bidi="ar"/>
        </w:rPr>
        <w:t>检验合格的</w:t>
      </w:r>
      <w:r>
        <w:rPr>
          <w:rFonts w:hint="eastAsia" w:cs="宋体" w:asciiTheme="majorEastAsia" w:hAnsiTheme="majorEastAsia" w:eastAsiaTheme="majorEastAsia"/>
          <w:color w:val="auto"/>
          <w:kern w:val="0"/>
          <w:sz w:val="28"/>
          <w:szCs w:val="28"/>
          <w:lang w:eastAsia="zh-CN" w:bidi="ar"/>
        </w:rPr>
        <w:t>具有CMA、CNAS标志的检测报告。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12"/>
        <w:spacing w:line="437" w:lineRule="exact"/>
        <w:ind w:right="0"/>
        <w:jc w:val="center"/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185F3"/>
    <w:multiLevelType w:val="multilevel"/>
    <w:tmpl w:val="396185F3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D96"/>
    <w:rsid w:val="000039F5"/>
    <w:rsid w:val="00076F21"/>
    <w:rsid w:val="000A08CF"/>
    <w:rsid w:val="000B2F8A"/>
    <w:rsid w:val="00105175"/>
    <w:rsid w:val="00156AE3"/>
    <w:rsid w:val="00170ECA"/>
    <w:rsid w:val="001751C8"/>
    <w:rsid w:val="001913DD"/>
    <w:rsid w:val="001B2DE2"/>
    <w:rsid w:val="001D5F3F"/>
    <w:rsid w:val="001F23BD"/>
    <w:rsid w:val="00210429"/>
    <w:rsid w:val="0021641A"/>
    <w:rsid w:val="00221EFF"/>
    <w:rsid w:val="00225BBE"/>
    <w:rsid w:val="00253AD8"/>
    <w:rsid w:val="002D4FB1"/>
    <w:rsid w:val="00306387"/>
    <w:rsid w:val="0032227E"/>
    <w:rsid w:val="00332727"/>
    <w:rsid w:val="00421925"/>
    <w:rsid w:val="00467127"/>
    <w:rsid w:val="00471F36"/>
    <w:rsid w:val="00483037"/>
    <w:rsid w:val="004A15B2"/>
    <w:rsid w:val="004C4077"/>
    <w:rsid w:val="0056510D"/>
    <w:rsid w:val="005A36EE"/>
    <w:rsid w:val="005F2B0B"/>
    <w:rsid w:val="0062343E"/>
    <w:rsid w:val="00656AAF"/>
    <w:rsid w:val="00677647"/>
    <w:rsid w:val="00681095"/>
    <w:rsid w:val="006A6719"/>
    <w:rsid w:val="006E14DC"/>
    <w:rsid w:val="007078C6"/>
    <w:rsid w:val="00725247"/>
    <w:rsid w:val="00732E4D"/>
    <w:rsid w:val="00740B61"/>
    <w:rsid w:val="007902DD"/>
    <w:rsid w:val="007E254E"/>
    <w:rsid w:val="007F70EC"/>
    <w:rsid w:val="008039CC"/>
    <w:rsid w:val="008203BA"/>
    <w:rsid w:val="0082450B"/>
    <w:rsid w:val="00847D96"/>
    <w:rsid w:val="008717F9"/>
    <w:rsid w:val="008727A0"/>
    <w:rsid w:val="008835A9"/>
    <w:rsid w:val="008B5D12"/>
    <w:rsid w:val="00901830"/>
    <w:rsid w:val="00916777"/>
    <w:rsid w:val="00927D72"/>
    <w:rsid w:val="00961918"/>
    <w:rsid w:val="009878E1"/>
    <w:rsid w:val="009A65C7"/>
    <w:rsid w:val="00A31339"/>
    <w:rsid w:val="00A40217"/>
    <w:rsid w:val="00A76381"/>
    <w:rsid w:val="00A85D4C"/>
    <w:rsid w:val="00AB281F"/>
    <w:rsid w:val="00AE6B1A"/>
    <w:rsid w:val="00B043D4"/>
    <w:rsid w:val="00B12FE7"/>
    <w:rsid w:val="00B162B7"/>
    <w:rsid w:val="00B610E6"/>
    <w:rsid w:val="00C27100"/>
    <w:rsid w:val="00C551AE"/>
    <w:rsid w:val="00CA4236"/>
    <w:rsid w:val="00D17EAD"/>
    <w:rsid w:val="00DB4EF1"/>
    <w:rsid w:val="00DE6C3B"/>
    <w:rsid w:val="00E36952"/>
    <w:rsid w:val="00E520D1"/>
    <w:rsid w:val="00E77CD5"/>
    <w:rsid w:val="00EA5E85"/>
    <w:rsid w:val="00EF7860"/>
    <w:rsid w:val="00F45ED2"/>
    <w:rsid w:val="00F61B7F"/>
    <w:rsid w:val="00F80ACB"/>
    <w:rsid w:val="00F91980"/>
    <w:rsid w:val="00F91E03"/>
    <w:rsid w:val="00F93ED8"/>
    <w:rsid w:val="09420735"/>
    <w:rsid w:val="0B265891"/>
    <w:rsid w:val="132A3BA7"/>
    <w:rsid w:val="187F5E99"/>
    <w:rsid w:val="195E3D13"/>
    <w:rsid w:val="1ABD3D4B"/>
    <w:rsid w:val="203F4001"/>
    <w:rsid w:val="274709D3"/>
    <w:rsid w:val="291B0060"/>
    <w:rsid w:val="2E3755E7"/>
    <w:rsid w:val="303236B4"/>
    <w:rsid w:val="32FD0E8C"/>
    <w:rsid w:val="34996E8D"/>
    <w:rsid w:val="34C75584"/>
    <w:rsid w:val="373C4DE3"/>
    <w:rsid w:val="3FEE228F"/>
    <w:rsid w:val="415917D8"/>
    <w:rsid w:val="41BB0AA8"/>
    <w:rsid w:val="43DE7D19"/>
    <w:rsid w:val="4485575A"/>
    <w:rsid w:val="458D3724"/>
    <w:rsid w:val="45EE568F"/>
    <w:rsid w:val="477559C3"/>
    <w:rsid w:val="481512DB"/>
    <w:rsid w:val="4D1858A1"/>
    <w:rsid w:val="4E860339"/>
    <w:rsid w:val="4FCE59D6"/>
    <w:rsid w:val="4FD734A3"/>
    <w:rsid w:val="51531E9C"/>
    <w:rsid w:val="52C67188"/>
    <w:rsid w:val="53FD00E1"/>
    <w:rsid w:val="5540034E"/>
    <w:rsid w:val="555634E7"/>
    <w:rsid w:val="576D7995"/>
    <w:rsid w:val="5776523C"/>
    <w:rsid w:val="58881B44"/>
    <w:rsid w:val="5A14460E"/>
    <w:rsid w:val="5B461F20"/>
    <w:rsid w:val="5CDD63AE"/>
    <w:rsid w:val="5D250309"/>
    <w:rsid w:val="5E944DFA"/>
    <w:rsid w:val="5EF46073"/>
    <w:rsid w:val="6127375B"/>
    <w:rsid w:val="6151187F"/>
    <w:rsid w:val="625D0820"/>
    <w:rsid w:val="62A83DF3"/>
    <w:rsid w:val="64C142BC"/>
    <w:rsid w:val="6754286D"/>
    <w:rsid w:val="676C60E9"/>
    <w:rsid w:val="69AB6A86"/>
    <w:rsid w:val="6A6149C4"/>
    <w:rsid w:val="6B6D65B1"/>
    <w:rsid w:val="6C9A11FF"/>
    <w:rsid w:val="6EA51237"/>
    <w:rsid w:val="6F896487"/>
    <w:rsid w:val="70C32A67"/>
    <w:rsid w:val="735A2BD8"/>
    <w:rsid w:val="75EB14AA"/>
    <w:rsid w:val="7A7B144D"/>
    <w:rsid w:val="7C1B0B01"/>
    <w:rsid w:val="7C59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23"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24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link w:val="26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1"/>
    <w:link w:val="27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link w:val="28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link w:val="29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link w:val="30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0"/>
  </w:style>
  <w:style w:type="paragraph" w:styleId="12">
    <w:name w:val="Body Text"/>
    <w:basedOn w:val="1"/>
    <w:qFormat/>
    <w:uiPriority w:val="1"/>
    <w:pPr>
      <w:ind w:left="5"/>
    </w:pPr>
    <w:rPr>
      <w:rFonts w:ascii="黑体" w:hAnsi="黑体" w:eastAsia="黑体"/>
      <w:b/>
      <w:bCs/>
      <w:sz w:val="36"/>
      <w:szCs w:val="36"/>
    </w:rPr>
  </w:style>
  <w:style w:type="paragraph" w:styleId="13">
    <w:name w:val="Body Text Indent"/>
    <w:basedOn w:val="1"/>
    <w:link w:val="32"/>
    <w:qFormat/>
    <w:uiPriority w:val="0"/>
    <w:pPr>
      <w:spacing w:line="380" w:lineRule="exact"/>
      <w:ind w:firstLine="420" w:firstLineChars="200"/>
    </w:pPr>
    <w:rPr>
      <w:rFonts w:ascii="Times New Roman" w:hAnsi="Times New Roman" w:cs="Times New Roman"/>
    </w:rPr>
  </w:style>
  <w:style w:type="paragraph" w:styleId="14">
    <w:name w:val="Balloon Text"/>
    <w:basedOn w:val="1"/>
    <w:link w:val="20"/>
    <w:qFormat/>
    <w:uiPriority w:val="0"/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0">
    <w:name w:val="批注框文本 Char"/>
    <w:basedOn w:val="19"/>
    <w:link w:val="14"/>
    <w:qFormat/>
    <w:uiPriority w:val="0"/>
    <w:rPr>
      <w:rFonts w:ascii="Calibri" w:hAnsi="Calibri" w:eastAsia="宋体" w:cs="宋体"/>
      <w:kern w:val="2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1 Char"/>
    <w:basedOn w:val="19"/>
    <w:link w:val="3"/>
    <w:qFormat/>
    <w:uiPriority w:val="0"/>
    <w:rPr>
      <w:rFonts w:ascii="Calibri" w:hAnsi="Calibri" w:cs="宋体"/>
      <w:b/>
      <w:kern w:val="44"/>
      <w:sz w:val="44"/>
      <w:szCs w:val="24"/>
    </w:rPr>
  </w:style>
  <w:style w:type="character" w:customStyle="1" w:styleId="23">
    <w:name w:val="标题 2 Char"/>
    <w:basedOn w:val="19"/>
    <w:link w:val="4"/>
    <w:qFormat/>
    <w:uiPriority w:val="0"/>
    <w:rPr>
      <w:rFonts w:ascii="Arial" w:hAnsi="Arial" w:eastAsia="黑体" w:cs="宋体"/>
      <w:b/>
      <w:bCs/>
      <w:kern w:val="2"/>
      <w:sz w:val="32"/>
      <w:szCs w:val="32"/>
    </w:rPr>
  </w:style>
  <w:style w:type="character" w:customStyle="1" w:styleId="24">
    <w:name w:val="标题 3 Char"/>
    <w:basedOn w:val="19"/>
    <w:link w:val="5"/>
    <w:semiHidden/>
    <w:qFormat/>
    <w:uiPriority w:val="0"/>
    <w:rPr>
      <w:rFonts w:ascii="Calibri" w:hAnsi="Calibri" w:cs="宋体"/>
      <w:b/>
      <w:kern w:val="2"/>
      <w:sz w:val="32"/>
      <w:szCs w:val="24"/>
    </w:rPr>
  </w:style>
  <w:style w:type="character" w:customStyle="1" w:styleId="25">
    <w:name w:val="标题 4 Char"/>
    <w:basedOn w:val="19"/>
    <w:link w:val="6"/>
    <w:semiHidden/>
    <w:qFormat/>
    <w:uiPriority w:val="0"/>
    <w:rPr>
      <w:rFonts w:ascii="Arial" w:hAnsi="Arial" w:eastAsia="黑体" w:cs="宋体"/>
      <w:b/>
      <w:kern w:val="2"/>
      <w:sz w:val="28"/>
      <w:szCs w:val="24"/>
    </w:rPr>
  </w:style>
  <w:style w:type="character" w:customStyle="1" w:styleId="26">
    <w:name w:val="标题 5 Char"/>
    <w:basedOn w:val="19"/>
    <w:link w:val="7"/>
    <w:semiHidden/>
    <w:qFormat/>
    <w:uiPriority w:val="0"/>
    <w:rPr>
      <w:rFonts w:ascii="Calibri" w:hAnsi="Calibri" w:cs="宋体"/>
      <w:b/>
      <w:kern w:val="2"/>
      <w:sz w:val="28"/>
      <w:szCs w:val="24"/>
    </w:rPr>
  </w:style>
  <w:style w:type="character" w:customStyle="1" w:styleId="27">
    <w:name w:val="标题 6 Char"/>
    <w:basedOn w:val="19"/>
    <w:link w:val="8"/>
    <w:semiHidden/>
    <w:uiPriority w:val="0"/>
    <w:rPr>
      <w:rFonts w:ascii="Arial" w:hAnsi="Arial" w:eastAsia="黑体" w:cs="宋体"/>
      <w:b/>
      <w:kern w:val="2"/>
      <w:sz w:val="24"/>
      <w:szCs w:val="24"/>
    </w:rPr>
  </w:style>
  <w:style w:type="character" w:customStyle="1" w:styleId="28">
    <w:name w:val="标题 7 Char"/>
    <w:basedOn w:val="19"/>
    <w:link w:val="9"/>
    <w:semiHidden/>
    <w:qFormat/>
    <w:uiPriority w:val="0"/>
    <w:rPr>
      <w:rFonts w:ascii="Calibri" w:hAnsi="Calibri" w:cs="宋体"/>
      <w:b/>
      <w:kern w:val="2"/>
      <w:sz w:val="24"/>
      <w:szCs w:val="24"/>
    </w:rPr>
  </w:style>
  <w:style w:type="character" w:customStyle="1" w:styleId="29">
    <w:name w:val="标题 8 Char"/>
    <w:basedOn w:val="19"/>
    <w:link w:val="10"/>
    <w:semiHidden/>
    <w:qFormat/>
    <w:uiPriority w:val="0"/>
    <w:rPr>
      <w:rFonts w:ascii="Arial" w:hAnsi="Arial" w:eastAsia="黑体" w:cs="宋体"/>
      <w:kern w:val="2"/>
      <w:sz w:val="24"/>
      <w:szCs w:val="24"/>
    </w:rPr>
  </w:style>
  <w:style w:type="character" w:customStyle="1" w:styleId="30">
    <w:name w:val="标题 9 Char"/>
    <w:basedOn w:val="19"/>
    <w:link w:val="11"/>
    <w:semiHidden/>
    <w:qFormat/>
    <w:uiPriority w:val="0"/>
    <w:rPr>
      <w:rFonts w:ascii="Arial" w:hAnsi="Arial" w:eastAsia="黑体" w:cs="宋体"/>
      <w:kern w:val="2"/>
      <w:sz w:val="21"/>
      <w:szCs w:val="24"/>
    </w:rPr>
  </w:style>
  <w:style w:type="paragraph" w:customStyle="1" w:styleId="31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32">
    <w:name w:val="正文文本缩进 Char"/>
    <w:basedOn w:val="19"/>
    <w:link w:val="13"/>
    <w:qFormat/>
    <w:uiPriority w:val="0"/>
    <w:rPr>
      <w:kern w:val="2"/>
      <w:sz w:val="21"/>
      <w:szCs w:val="24"/>
    </w:rPr>
  </w:style>
  <w:style w:type="paragraph" w:customStyle="1" w:styleId="33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1376</Words>
  <Characters>7847</Characters>
  <Lines>65</Lines>
  <Paragraphs>18</Paragraphs>
  <TotalTime>10</TotalTime>
  <ScaleCrop>false</ScaleCrop>
  <LinksUpToDate>false</LinksUpToDate>
  <CharactersWithSpaces>9205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2022-03-31T05:00:00Z</dcterms:created>
  <dc:creator>YX201606a</dc:creator>
  <cp:lastModifiedBy>Administrator</cp:lastModifiedBy>
  <cp:lastPrinted>2022-04-13T06:02:00Z</cp:lastPrinted>
  <dcterms:modified xsi:type="dcterms:W3CDTF">2022-05-16T01:44:14Z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