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outlineLvl w:val="0"/>
        <w:rPr>
          <w:rFonts w:ascii="宋体" w:hAnsi="宋体" w:eastAsia="宋体" w:cs="宋体"/>
          <w:b/>
          <w:bCs/>
          <w:color w:val="000000"/>
          <w:sz w:val="44"/>
          <w:szCs w:val="44"/>
        </w:rPr>
      </w:pPr>
      <w:r>
        <w:rPr>
          <w:rFonts w:hint="eastAsia" w:ascii="宋体" w:hAnsi="宋体" w:eastAsia="宋体" w:cs="宋体"/>
          <w:b/>
          <w:bCs/>
          <w:color w:val="000000"/>
          <w:sz w:val="44"/>
          <w:szCs w:val="44"/>
        </w:rPr>
        <w:t>南浔校区围墙</w:t>
      </w:r>
    </w:p>
    <w:p>
      <w:pPr>
        <w:widowControl/>
        <w:jc w:val="center"/>
        <w:textAlignment w:val="center"/>
        <w:rPr>
          <w:rFonts w:ascii="宋体" w:hAnsi="宋体" w:eastAsia="宋体" w:cs="宋体"/>
          <w:b/>
          <w:bCs/>
          <w:color w:val="000000"/>
          <w:sz w:val="28"/>
          <w:szCs w:val="28"/>
        </w:rPr>
      </w:pPr>
    </w:p>
    <w:p>
      <w:pPr>
        <w:numPr>
          <w:ilvl w:val="0"/>
          <w:numId w:val="1"/>
        </w:numPr>
        <w:rPr>
          <w:rFonts w:ascii="宋体" w:hAnsi="宋体" w:cs="宋体"/>
          <w:sz w:val="28"/>
          <w:szCs w:val="36"/>
        </w:rPr>
      </w:pPr>
      <w:r>
        <w:rPr>
          <w:rFonts w:hint="eastAsia" w:ascii="宋体" w:hAnsi="宋体" w:cs="宋体"/>
          <w:sz w:val="28"/>
          <w:szCs w:val="36"/>
        </w:rPr>
        <w:t>施工图设计说明</w:t>
      </w:r>
    </w:p>
    <w:p>
      <w:pPr>
        <w:numPr>
          <w:ilvl w:val="0"/>
          <w:numId w:val="2"/>
        </w:numPr>
        <w:rPr>
          <w:rFonts w:ascii="宋体" w:hAnsi="宋体" w:cs="宋体"/>
          <w:sz w:val="28"/>
          <w:szCs w:val="36"/>
        </w:rPr>
      </w:pPr>
      <w:r>
        <w:rPr>
          <w:rFonts w:hint="eastAsia" w:ascii="宋体" w:hAnsi="宋体" w:cs="宋体"/>
          <w:sz w:val="28"/>
          <w:szCs w:val="36"/>
        </w:rPr>
        <w:t>项目位于浙江省湖州市南浔区</w:t>
      </w:r>
    </w:p>
    <w:p>
      <w:pPr>
        <w:numPr>
          <w:ilvl w:val="0"/>
          <w:numId w:val="2"/>
        </w:numPr>
        <w:rPr>
          <w:rFonts w:ascii="宋体" w:hAnsi="宋体" w:cs="宋体"/>
          <w:sz w:val="28"/>
          <w:szCs w:val="36"/>
        </w:rPr>
      </w:pPr>
      <w:r>
        <w:rPr>
          <w:rFonts w:ascii="宋体" w:hAnsi="宋体" w:cs="宋体"/>
          <w:sz w:val="28"/>
          <w:szCs w:val="36"/>
        </w:rPr>
        <w:t>本工程定位基点采用坐标系统为规划提供的图纸，本工程标高采用规划提供的标高。</w:t>
      </w:r>
    </w:p>
    <w:p>
      <w:pPr>
        <w:numPr>
          <w:ilvl w:val="0"/>
          <w:numId w:val="2"/>
        </w:numPr>
        <w:rPr>
          <w:rFonts w:ascii="宋体" w:hAnsi="宋体" w:cs="宋体"/>
          <w:sz w:val="28"/>
          <w:szCs w:val="36"/>
        </w:rPr>
      </w:pPr>
      <w:r>
        <w:rPr>
          <w:rFonts w:ascii="宋体" w:hAnsi="宋体" w:cs="宋体"/>
          <w:sz w:val="28"/>
          <w:szCs w:val="36"/>
        </w:rPr>
        <w:t>施工图中所注尺寸均以毫米为单位，标高以米为单位，。</w:t>
      </w:r>
    </w:p>
    <w:p>
      <w:pPr>
        <w:numPr>
          <w:ilvl w:val="0"/>
          <w:numId w:val="2"/>
        </w:numPr>
        <w:rPr>
          <w:rFonts w:ascii="宋体" w:hAnsi="宋体" w:cs="宋体"/>
          <w:sz w:val="28"/>
          <w:szCs w:val="36"/>
        </w:rPr>
      </w:pPr>
      <w:r>
        <w:rPr>
          <w:rFonts w:ascii="宋体" w:hAnsi="宋体" w:cs="宋体"/>
          <w:sz w:val="28"/>
          <w:szCs w:val="36"/>
        </w:rPr>
        <w:t>所有外装饰材料色彩需报小样，经甲方及设计单位认可后方可施工。大面积施工前，需完成小范围区域，其质量及施工工艺作为后续大面积施工验收标准。</w:t>
      </w:r>
    </w:p>
    <w:p>
      <w:pPr>
        <w:numPr>
          <w:ilvl w:val="0"/>
          <w:numId w:val="2"/>
        </w:numPr>
        <w:rPr>
          <w:rFonts w:ascii="宋体" w:hAnsi="宋体" w:cs="宋体"/>
          <w:sz w:val="28"/>
          <w:szCs w:val="36"/>
        </w:rPr>
      </w:pPr>
      <w:r>
        <w:rPr>
          <w:rFonts w:hint="eastAsia" w:ascii="宋体" w:hAnsi="宋体" w:cs="宋体"/>
          <w:sz w:val="28"/>
          <w:szCs w:val="36"/>
        </w:rPr>
        <w:t>施工安装必须严格遵守国家颁布的有关标准和各项施工验收规范的规定，并与建筑、结构、绿化、水电、暖通、动力等工种密切配合，注意预留孔洞、管线、预埋件等。放置错漏返工、影响质量美观。</w:t>
      </w:r>
    </w:p>
    <w:p>
      <w:pPr>
        <w:numPr>
          <w:ilvl w:val="0"/>
          <w:numId w:val="2"/>
        </w:numPr>
        <w:rPr>
          <w:rFonts w:ascii="宋体" w:hAnsi="宋体" w:cs="宋体"/>
          <w:sz w:val="28"/>
          <w:szCs w:val="36"/>
        </w:rPr>
      </w:pPr>
      <w:r>
        <w:rPr>
          <w:rFonts w:ascii="宋体" w:hAnsi="宋体" w:cs="宋体"/>
          <w:sz w:val="28"/>
          <w:szCs w:val="36"/>
        </w:rPr>
        <w:t>施工单位要严格按图施工。须待施工放线定位全部完成，确认无误后方可进行施工，如有疑问及时与设计人员联系。</w:t>
      </w:r>
    </w:p>
    <w:p>
      <w:pPr>
        <w:numPr>
          <w:ilvl w:val="0"/>
          <w:numId w:val="2"/>
        </w:numPr>
        <w:rPr>
          <w:rFonts w:ascii="宋体" w:hAnsi="宋体" w:cs="宋体"/>
          <w:sz w:val="28"/>
          <w:szCs w:val="36"/>
        </w:rPr>
      </w:pPr>
      <w:r>
        <w:rPr>
          <w:rFonts w:ascii="宋体" w:hAnsi="宋体" w:cs="宋体"/>
          <w:sz w:val="28"/>
          <w:szCs w:val="36"/>
        </w:rPr>
        <w:t>所有施工材料均由出厂合格证。钢筋、水泥、砂、石等主要材料进行试验，合格后方能用于施工。</w:t>
      </w:r>
    </w:p>
    <w:p>
      <w:pPr>
        <w:numPr>
          <w:ilvl w:val="0"/>
          <w:numId w:val="2"/>
        </w:numPr>
        <w:rPr>
          <w:rFonts w:ascii="宋体" w:hAnsi="宋体" w:cs="宋体"/>
          <w:sz w:val="28"/>
          <w:szCs w:val="36"/>
        </w:rPr>
      </w:pPr>
      <w:r>
        <w:rPr>
          <w:rFonts w:ascii="宋体" w:hAnsi="宋体" w:cs="宋体"/>
          <w:sz w:val="28"/>
          <w:szCs w:val="36"/>
        </w:rPr>
        <w:t>为保证效果，所有装饰材料须由施工单位、监理单位及会同设计单位确认后才能用于施工。</w:t>
      </w:r>
    </w:p>
    <w:p>
      <w:pPr>
        <w:numPr>
          <w:ilvl w:val="0"/>
          <w:numId w:val="2"/>
        </w:numPr>
        <w:rPr>
          <w:rFonts w:ascii="宋体" w:hAnsi="宋体" w:cs="宋体"/>
          <w:sz w:val="28"/>
          <w:szCs w:val="36"/>
        </w:rPr>
      </w:pPr>
      <w:r>
        <w:rPr>
          <w:rFonts w:ascii="宋体" w:hAnsi="宋体" w:cs="宋体"/>
          <w:sz w:val="28"/>
          <w:szCs w:val="36"/>
        </w:rPr>
        <w:t>除特别说明外，主钢结构材料采用</w:t>
      </w:r>
      <w:r>
        <w:rPr>
          <w:rFonts w:hint="eastAsia" w:ascii="宋体" w:hAnsi="宋体" w:cs="宋体"/>
          <w:sz w:val="28"/>
          <w:szCs w:val="36"/>
        </w:rPr>
        <w:t>Q</w:t>
      </w:r>
      <w:r>
        <w:rPr>
          <w:rFonts w:ascii="宋体" w:hAnsi="宋体" w:cs="宋体"/>
          <w:sz w:val="28"/>
          <w:szCs w:val="36"/>
        </w:rPr>
        <w:t>235即（</w:t>
      </w:r>
      <w:r>
        <w:rPr>
          <w:rFonts w:hint="eastAsia" w:ascii="宋体" w:hAnsi="宋体" w:cs="宋体"/>
          <w:sz w:val="28"/>
          <w:szCs w:val="36"/>
        </w:rPr>
        <w:t>A</w:t>
      </w:r>
      <w:r>
        <w:rPr>
          <w:rFonts w:ascii="宋体" w:hAnsi="宋体" w:cs="宋体"/>
          <w:sz w:val="28"/>
          <w:szCs w:val="36"/>
        </w:rPr>
        <w:t>3）</w:t>
      </w:r>
      <w:r>
        <w:rPr>
          <w:rFonts w:hint="eastAsia" w:ascii="宋体" w:hAnsi="宋体" w:cs="宋体"/>
          <w:sz w:val="28"/>
          <w:szCs w:val="36"/>
          <w:lang w:val="en-US" w:eastAsia="zh-CN"/>
        </w:rPr>
        <w:t>钢材</w:t>
      </w:r>
      <w:r>
        <w:rPr>
          <w:rFonts w:ascii="宋体" w:hAnsi="宋体" w:cs="宋体"/>
          <w:sz w:val="28"/>
          <w:szCs w:val="36"/>
        </w:rPr>
        <w:t>，</w:t>
      </w:r>
      <w:r>
        <w:rPr>
          <w:rFonts w:hint="eastAsia" w:ascii="宋体" w:hAnsi="宋体" w:cs="宋体"/>
          <w:sz w:val="28"/>
          <w:szCs w:val="36"/>
          <w:lang w:val="en-US" w:eastAsia="zh-CN"/>
        </w:rPr>
        <w:t>钢材</w:t>
      </w:r>
      <w:r>
        <w:rPr>
          <w:rFonts w:ascii="宋体" w:hAnsi="宋体" w:cs="宋体"/>
          <w:sz w:val="28"/>
          <w:szCs w:val="36"/>
        </w:rPr>
        <w:t>要求具有标准强度、伸缩率、屈服强度及硫、磷的合格保证书，以及碳含量的证明书，其性能符合《普通碳素结构钢技术条件》（</w:t>
      </w:r>
      <w:r>
        <w:rPr>
          <w:rFonts w:hint="eastAsia" w:ascii="宋体" w:hAnsi="宋体" w:cs="宋体"/>
          <w:sz w:val="28"/>
          <w:szCs w:val="36"/>
        </w:rPr>
        <w:t>G</w:t>
      </w:r>
      <w:r>
        <w:rPr>
          <w:rFonts w:ascii="宋体" w:hAnsi="宋体" w:cs="宋体"/>
          <w:sz w:val="28"/>
          <w:szCs w:val="36"/>
        </w:rPr>
        <w:t>B700-88）</w:t>
      </w:r>
    </w:p>
    <w:p>
      <w:pPr>
        <w:numPr>
          <w:ilvl w:val="0"/>
          <w:numId w:val="2"/>
        </w:numPr>
        <w:rPr>
          <w:rFonts w:ascii="宋体" w:hAnsi="宋体" w:cs="宋体"/>
          <w:sz w:val="28"/>
          <w:szCs w:val="36"/>
        </w:rPr>
      </w:pPr>
      <w:r>
        <w:rPr>
          <w:rFonts w:hint="eastAsia" w:ascii="宋体" w:hAnsi="宋体" w:cs="宋体"/>
          <w:sz w:val="28"/>
          <w:szCs w:val="36"/>
        </w:rPr>
        <w:t>手工焊接选用E4315的手工电弧焊条型号，其技术应符合自动焊或半自动焊的焊丝和焊剂应与主体金属强度相应，焊丝采用H08MnA型，气保焊采用H08Mn2si。焊丝应符合《气体保护电弧焊用碳钢、低合金钢焊丝》（GB8110-1995）的规定。</w:t>
      </w:r>
    </w:p>
    <w:p>
      <w:pPr>
        <w:numPr>
          <w:ilvl w:val="0"/>
          <w:numId w:val="2"/>
        </w:numPr>
        <w:rPr>
          <w:rFonts w:ascii="宋体" w:hAnsi="宋体" w:cs="宋体"/>
          <w:sz w:val="28"/>
          <w:szCs w:val="36"/>
        </w:rPr>
      </w:pPr>
      <w:r>
        <w:rPr>
          <w:rFonts w:hint="eastAsia" w:ascii="宋体" w:hAnsi="宋体" w:cs="宋体"/>
          <w:sz w:val="28"/>
          <w:szCs w:val="36"/>
        </w:rPr>
        <w:t>焊缝凡未注明长度的一律为周边满焊，且不得小于100；构件在制作时均按1：1放大样。焊缝质量检验等级:二级；焊接质量检验标准按《钢结构工程施工质量验收规范》（GB50205-2001）执行。</w:t>
      </w:r>
    </w:p>
    <w:p>
      <w:pPr>
        <w:numPr>
          <w:ilvl w:val="0"/>
          <w:numId w:val="2"/>
        </w:numPr>
        <w:rPr>
          <w:rFonts w:ascii="宋体" w:hAnsi="宋体" w:cs="宋体"/>
          <w:sz w:val="28"/>
          <w:szCs w:val="36"/>
        </w:rPr>
      </w:pPr>
      <w:r>
        <w:rPr>
          <w:rFonts w:hint="eastAsia" w:ascii="宋体" w:hAnsi="宋体" w:cs="宋体"/>
          <w:sz w:val="28"/>
          <w:szCs w:val="36"/>
        </w:rPr>
        <w:t>在制作中当材料长度短于构件尺寸时必须拼接，拼接接头的连接焊缝长度根据等强度条件按面积法计算。</w:t>
      </w:r>
    </w:p>
    <w:p>
      <w:pPr>
        <w:numPr>
          <w:ilvl w:val="0"/>
          <w:numId w:val="2"/>
        </w:numPr>
        <w:rPr>
          <w:rFonts w:ascii="宋体" w:hAnsi="宋体" w:cs="宋体"/>
          <w:sz w:val="28"/>
          <w:szCs w:val="36"/>
        </w:rPr>
      </w:pPr>
      <w:r>
        <w:rPr>
          <w:rFonts w:hint="eastAsia" w:ascii="宋体" w:hAnsi="宋体" w:cs="宋体"/>
          <w:sz w:val="28"/>
          <w:szCs w:val="36"/>
        </w:rPr>
        <w:t>钢材、连接材料、焊条、焊丝、焊剂及螺栓、涂料底漆、面漆均应附有质量证明书。</w:t>
      </w:r>
    </w:p>
    <w:p>
      <w:pPr>
        <w:numPr>
          <w:ilvl w:val="0"/>
          <w:numId w:val="2"/>
        </w:numPr>
        <w:rPr>
          <w:rFonts w:ascii="宋体" w:hAnsi="宋体" w:cs="宋体"/>
          <w:sz w:val="28"/>
          <w:szCs w:val="36"/>
        </w:rPr>
      </w:pPr>
      <w:r>
        <w:rPr>
          <w:rFonts w:hint="eastAsia" w:ascii="宋体" w:hAnsi="宋体" w:cs="宋体"/>
          <w:sz w:val="28"/>
          <w:szCs w:val="36"/>
        </w:rPr>
        <w:t>与混凝土固定的膨胀螺栓固定后灌浇沥青防腐。</w:t>
      </w:r>
    </w:p>
    <w:p>
      <w:pPr>
        <w:numPr>
          <w:ilvl w:val="0"/>
          <w:numId w:val="2"/>
        </w:numPr>
        <w:rPr>
          <w:rFonts w:ascii="宋体" w:hAnsi="宋体" w:cs="宋体"/>
          <w:sz w:val="28"/>
          <w:szCs w:val="36"/>
        </w:rPr>
      </w:pPr>
      <w:r>
        <w:rPr>
          <w:rFonts w:hint="eastAsia" w:ascii="宋体" w:hAnsi="宋体" w:cs="宋体"/>
          <w:sz w:val="28"/>
          <w:szCs w:val="36"/>
        </w:rPr>
        <w:t>所有外露金属构件均需作防锈漆打底，调合漆一底二度。所有外露木件均应作防腐防虫处理。</w:t>
      </w:r>
    </w:p>
    <w:p>
      <w:pPr>
        <w:numPr>
          <w:ilvl w:val="0"/>
          <w:numId w:val="2"/>
        </w:numPr>
        <w:rPr>
          <w:rFonts w:ascii="宋体" w:hAnsi="宋体" w:cs="宋体"/>
          <w:sz w:val="28"/>
          <w:szCs w:val="36"/>
        </w:rPr>
      </w:pPr>
      <w:r>
        <w:rPr>
          <w:rFonts w:hint="eastAsia" w:ascii="宋体" w:hAnsi="宋体" w:cs="宋体"/>
          <w:sz w:val="28"/>
          <w:szCs w:val="36"/>
        </w:rPr>
        <w:t>在墙面、地面、顶棚上固定各种设备、管线支架、建筑配件以及建筑装修的固定件,凡有条件均应采用钢制膨胀螺栓.</w:t>
      </w:r>
    </w:p>
    <w:p>
      <w:pPr>
        <w:numPr>
          <w:ilvl w:val="0"/>
          <w:numId w:val="2"/>
        </w:numPr>
        <w:rPr>
          <w:rFonts w:ascii="宋体" w:hAnsi="宋体" w:cs="宋体"/>
          <w:sz w:val="28"/>
          <w:szCs w:val="36"/>
        </w:rPr>
      </w:pPr>
      <w:r>
        <w:rPr>
          <w:rFonts w:hint="eastAsia" w:ascii="宋体" w:hAnsi="宋体" w:cs="宋体"/>
          <w:sz w:val="28"/>
          <w:szCs w:val="36"/>
        </w:rPr>
        <w:t>塑料胀管、射钉等安装构件以代替在混凝土或砖墙中预埋件等做法,固定构件按其允许荷载、规格等有关技术参数选用 .</w:t>
      </w:r>
    </w:p>
    <w:p>
      <w:pPr>
        <w:numPr>
          <w:ilvl w:val="0"/>
          <w:numId w:val="2"/>
        </w:numPr>
        <w:rPr>
          <w:rFonts w:ascii="宋体" w:hAnsi="宋体" w:cs="宋体"/>
          <w:sz w:val="28"/>
          <w:szCs w:val="36"/>
        </w:rPr>
      </w:pPr>
      <w:r>
        <w:rPr>
          <w:rFonts w:hint="eastAsia" w:ascii="宋体" w:hAnsi="宋体" w:cs="宋体"/>
          <w:sz w:val="28"/>
          <w:szCs w:val="36"/>
        </w:rPr>
        <w:t>地面垫层应铺设在均匀密实的基土上,耕土和淤泥必须挖除后用素土或灰土分层夯实.当地基土质较差时,可用碎石、卵石或碎砖等夯入土中,以加强基土.对软弱地基的利用或处理,可参照"工业与民用建筑地基基础设计规范"办理.</w:t>
      </w:r>
    </w:p>
    <w:p>
      <w:pPr>
        <w:numPr>
          <w:ilvl w:val="0"/>
          <w:numId w:val="2"/>
        </w:numPr>
        <w:rPr>
          <w:rFonts w:ascii="宋体" w:hAnsi="宋体" w:cs="宋体"/>
          <w:sz w:val="28"/>
          <w:szCs w:val="36"/>
        </w:rPr>
      </w:pPr>
      <w:r>
        <w:rPr>
          <w:rFonts w:hint="eastAsia" w:ascii="宋体" w:hAnsi="宋体" w:cs="宋体"/>
          <w:sz w:val="28"/>
          <w:szCs w:val="36"/>
        </w:rPr>
        <w:t>各类地面垫层厚度选定除应考虑地面荷载、压实填土地基变形模量EO外,对于有腐蚀性介质作用的地面或面层设计质量有较高要求、以及地面面积较大时,均宜采用100厚C15混凝土垫层.</w:t>
      </w:r>
    </w:p>
    <w:p>
      <w:pPr>
        <w:numPr>
          <w:ilvl w:val="0"/>
          <w:numId w:val="2"/>
        </w:numPr>
        <w:rPr>
          <w:rFonts w:ascii="宋体" w:hAnsi="宋体" w:cs="宋体"/>
          <w:sz w:val="28"/>
          <w:szCs w:val="36"/>
        </w:rPr>
      </w:pPr>
      <w:r>
        <w:rPr>
          <w:rFonts w:hint="eastAsia" w:ascii="宋体" w:hAnsi="宋体" w:cs="宋体"/>
          <w:sz w:val="28"/>
          <w:szCs w:val="36"/>
        </w:rPr>
        <w:t>各类地面的地基为素土夯实,其垫层下填土的压实系数（土的控制干容重与最大干容重的比值）不小于93%</w:t>
      </w:r>
    </w:p>
    <w:p>
      <w:pPr>
        <w:numPr>
          <w:ilvl w:val="0"/>
          <w:numId w:val="2"/>
        </w:numPr>
        <w:rPr>
          <w:rFonts w:ascii="宋体" w:hAnsi="宋体" w:cs="宋体"/>
          <w:sz w:val="28"/>
          <w:szCs w:val="36"/>
        </w:rPr>
      </w:pPr>
      <w:r>
        <w:rPr>
          <w:rFonts w:hint="eastAsia" w:ascii="宋体" w:hAnsi="宋体" w:cs="宋体"/>
          <w:sz w:val="28"/>
          <w:szCs w:val="36"/>
        </w:rPr>
        <w:t>所有砖构筑物均设墙身防潮,做法为20厚1:2水泥砂浆,掺5%防水粉.</w:t>
      </w:r>
    </w:p>
    <w:p>
      <w:pPr>
        <w:numPr>
          <w:ilvl w:val="0"/>
          <w:numId w:val="2"/>
        </w:numPr>
        <w:rPr>
          <w:rFonts w:ascii="宋体" w:hAnsi="宋体" w:cs="宋体"/>
          <w:sz w:val="28"/>
          <w:szCs w:val="36"/>
        </w:rPr>
      </w:pPr>
      <w:r>
        <w:rPr>
          <w:rFonts w:hint="eastAsia" w:ascii="宋体" w:hAnsi="宋体" w:cs="宋体"/>
          <w:sz w:val="28"/>
          <w:szCs w:val="36"/>
        </w:rPr>
        <w:t>埋置深度:基础应置于坚实土层之上,凡标高达不到设计要求时应抛垫碎石分层夯实;重要建筑基础应预先构筑.当无特别说明时,基础埋置深度应&gt;700mm,并在地下水位之上冻土线之下 .</w:t>
      </w:r>
    </w:p>
    <w:p>
      <w:pPr>
        <w:numPr>
          <w:ilvl w:val="0"/>
          <w:numId w:val="2"/>
        </w:numPr>
        <w:rPr>
          <w:rFonts w:ascii="宋体" w:hAnsi="宋体" w:cs="宋体"/>
          <w:sz w:val="28"/>
          <w:szCs w:val="36"/>
        </w:rPr>
      </w:pPr>
      <w:r>
        <w:rPr>
          <w:rFonts w:hint="eastAsia" w:ascii="宋体" w:hAnsi="宋体" w:cs="宋体"/>
          <w:sz w:val="28"/>
          <w:szCs w:val="36"/>
        </w:rPr>
        <w:t>地形变化:当地形变化较大时,基础标高相应变化,长型建筑物如走廊、围墙、栏干、挡土墙等其条形基础应做成台阶型,</w:t>
      </w:r>
      <w:r>
        <w:rPr>
          <w:rFonts w:hint="eastAsia"/>
        </w:rPr>
        <w:t xml:space="preserve"> </w:t>
      </w:r>
      <w:r>
        <w:rPr>
          <w:rFonts w:hint="eastAsia" w:ascii="宋体" w:hAnsi="宋体" w:cs="宋体"/>
          <w:sz w:val="28"/>
          <w:szCs w:val="36"/>
        </w:rPr>
        <w:t>其长度及高度比控制在2/1之内 .</w:t>
      </w:r>
    </w:p>
    <w:p>
      <w:pPr>
        <w:numPr>
          <w:ilvl w:val="0"/>
          <w:numId w:val="2"/>
        </w:numPr>
        <w:rPr>
          <w:rFonts w:ascii="宋体" w:hAnsi="宋体" w:cs="宋体"/>
          <w:sz w:val="28"/>
          <w:szCs w:val="36"/>
        </w:rPr>
      </w:pPr>
      <w:r>
        <w:rPr>
          <w:rFonts w:hint="eastAsia" w:ascii="宋体" w:hAnsi="宋体" w:cs="宋体"/>
          <w:sz w:val="28"/>
          <w:szCs w:val="36"/>
        </w:rPr>
        <w:t>地基变化:当发现建筑物、水池、广场处于不同地基情况,如自然土壤和防空洞,地下车库之上时,应通知设计单位设计沉降缝,或加强上部整体刚度</w:t>
      </w:r>
    </w:p>
    <w:p>
      <w:pPr>
        <w:numPr>
          <w:ilvl w:val="0"/>
          <w:numId w:val="2"/>
        </w:numPr>
        <w:rPr>
          <w:rFonts w:ascii="宋体" w:hAnsi="宋体" w:cs="宋体"/>
          <w:sz w:val="28"/>
          <w:szCs w:val="36"/>
        </w:rPr>
      </w:pPr>
      <w:r>
        <w:rPr>
          <w:rFonts w:hint="eastAsia" w:ascii="宋体" w:hAnsi="宋体" w:cs="宋体"/>
          <w:sz w:val="28"/>
          <w:szCs w:val="36"/>
        </w:rPr>
        <w:t>基础材料:地面以下砌体所用材料应按图示要求施工并达到下表最低标准：</w:t>
      </w:r>
    </w:p>
    <w:p>
      <w:pPr>
        <w:rPr>
          <w:rFonts w:ascii="宋体" w:hAnsi="宋体" w:cs="宋体"/>
          <w:sz w:val="28"/>
          <w:szCs w:val="36"/>
        </w:rPr>
      </w:pPr>
      <w:r>
        <w:drawing>
          <wp:inline distT="0" distB="0" distL="0" distR="0">
            <wp:extent cx="5791200" cy="1457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92653" cy="1457578"/>
                    </a:xfrm>
                    <a:prstGeom prst="rect">
                      <a:avLst/>
                    </a:prstGeom>
                  </pic:spPr>
                </pic:pic>
              </a:graphicData>
            </a:graphic>
          </wp:inline>
        </w:drawing>
      </w:r>
    </w:p>
    <w:p>
      <w:pPr>
        <w:pStyle w:val="6"/>
        <w:numPr>
          <w:ilvl w:val="0"/>
          <w:numId w:val="2"/>
        </w:numPr>
        <w:ind w:firstLineChars="0"/>
        <w:rPr>
          <w:rFonts w:ascii="宋体" w:hAnsi="宋体" w:cs="宋体"/>
          <w:sz w:val="28"/>
          <w:szCs w:val="36"/>
        </w:rPr>
      </w:pPr>
      <w:r>
        <w:rPr>
          <w:rFonts w:hint="eastAsia" w:ascii="宋体" w:hAnsi="宋体" w:cs="宋体"/>
          <w:sz w:val="28"/>
          <w:szCs w:val="36"/>
        </w:rPr>
        <w:t>施工方应对整个设计范围内最终实施的地形、场地、路面及排水的最终效果负责.施工前应粗略核实相应的场地标高,</w:t>
      </w:r>
      <w:r>
        <w:rPr>
          <w:rFonts w:hint="eastAsia"/>
        </w:rPr>
        <w:t xml:space="preserve"> </w:t>
      </w:r>
      <w:r>
        <w:rPr>
          <w:rFonts w:hint="eastAsia" w:ascii="宋体" w:hAnsi="宋体" w:cs="宋体"/>
          <w:sz w:val="28"/>
          <w:szCs w:val="36"/>
        </w:rPr>
        <w:t>并将有疑问及相关矛盾之处提醒设计师注意,以便在施工前解决此类问题.</w:t>
      </w:r>
    </w:p>
    <w:p>
      <w:pPr>
        <w:pStyle w:val="6"/>
        <w:numPr>
          <w:ilvl w:val="0"/>
          <w:numId w:val="2"/>
        </w:numPr>
        <w:ind w:firstLineChars="0"/>
        <w:rPr>
          <w:rFonts w:ascii="宋体" w:hAnsi="宋体" w:cs="宋体"/>
          <w:sz w:val="28"/>
          <w:szCs w:val="36"/>
        </w:rPr>
      </w:pPr>
      <w:r>
        <w:rPr>
          <w:rFonts w:hint="eastAsia" w:ascii="宋体" w:hAnsi="宋体" w:cs="宋体"/>
          <w:sz w:val="28"/>
          <w:szCs w:val="36"/>
        </w:rPr>
        <w:t>图中所标注的标高为土方沉降后的完成标高.</w:t>
      </w:r>
    </w:p>
    <w:p>
      <w:pPr>
        <w:pStyle w:val="6"/>
        <w:numPr>
          <w:ilvl w:val="0"/>
          <w:numId w:val="2"/>
        </w:numPr>
        <w:ind w:firstLineChars="0"/>
        <w:rPr>
          <w:rFonts w:hint="eastAsia" w:ascii="宋体" w:hAnsi="宋体" w:cs="宋体"/>
          <w:sz w:val="28"/>
          <w:szCs w:val="36"/>
        </w:rPr>
      </w:pPr>
      <w:r>
        <w:rPr>
          <w:rFonts w:hint="eastAsia" w:ascii="宋体" w:hAnsi="宋体" w:cs="宋体"/>
          <w:sz w:val="28"/>
          <w:szCs w:val="36"/>
        </w:rPr>
        <w:t>施工队应严格按图施工,若有改动,应征得设计方和甲方的共同认可,由设计方出具体设计修改通知或由施工方提出相应的现场变更意见书由设计方及甲方核对,认可后作出变更.</w:t>
      </w:r>
    </w:p>
    <w:p>
      <w:pPr>
        <w:outlineLvl w:val="0"/>
        <w:rPr>
          <w:rFonts w:ascii="宋体" w:hAnsi="宋体" w:cs="宋体"/>
          <w:sz w:val="28"/>
          <w:szCs w:val="36"/>
        </w:rPr>
      </w:pPr>
      <w:r>
        <w:rPr>
          <w:rFonts w:hint="eastAsia" w:ascii="宋体" w:hAnsi="宋体" w:cs="宋体"/>
          <w:sz w:val="28"/>
          <w:szCs w:val="36"/>
          <w:lang w:eastAsia="zh-CN"/>
        </w:rPr>
        <w:t>二</w:t>
      </w:r>
      <w:r>
        <w:rPr>
          <w:rFonts w:hint="eastAsia" w:ascii="宋体" w:hAnsi="宋体" w:cs="宋体"/>
          <w:sz w:val="28"/>
          <w:szCs w:val="36"/>
        </w:rPr>
        <w:t>、施工要求</w:t>
      </w:r>
    </w:p>
    <w:p>
      <w:pPr>
        <w:numPr>
          <w:ilvl w:val="0"/>
          <w:numId w:val="3"/>
        </w:numPr>
        <w:rPr>
          <w:rFonts w:hint="eastAsia" w:ascii="宋体" w:hAnsi="宋体" w:cs="宋体"/>
          <w:sz w:val="28"/>
          <w:szCs w:val="36"/>
        </w:rPr>
      </w:pPr>
      <w:r>
        <w:rPr>
          <w:rFonts w:hint="eastAsia" w:ascii="宋体" w:hAnsi="宋体" w:cs="宋体"/>
          <w:sz w:val="28"/>
          <w:szCs w:val="36"/>
        </w:rPr>
        <w:t>根据图纸及现场踏勘确认位置，进行围墙施工，围墙总长度约1200米。大致施工区域详附件1</w:t>
      </w:r>
    </w:p>
    <w:p>
      <w:pPr>
        <w:outlineLvl w:val="0"/>
        <w:rPr>
          <w:rFonts w:ascii="宋体" w:hAnsi="宋体" w:cs="宋体"/>
          <w:sz w:val="28"/>
          <w:szCs w:val="36"/>
        </w:rPr>
      </w:pPr>
      <w:r>
        <w:rPr>
          <w:rFonts w:hint="eastAsia" w:ascii="宋体" w:hAnsi="宋体" w:cs="宋体"/>
          <w:sz w:val="28"/>
          <w:szCs w:val="36"/>
          <w:lang w:eastAsia="zh-CN"/>
        </w:rPr>
        <w:t>三</w:t>
      </w:r>
      <w:r>
        <w:rPr>
          <w:rFonts w:hint="eastAsia" w:ascii="宋体" w:hAnsi="宋体" w:cs="宋体"/>
          <w:sz w:val="28"/>
          <w:szCs w:val="36"/>
        </w:rPr>
        <w:t>、围墙施工图示意</w:t>
      </w:r>
    </w:p>
    <w:p>
      <w:pPr>
        <w:rPr>
          <w:rFonts w:ascii="宋体" w:hAnsi="宋体" w:cs="宋体"/>
          <w:sz w:val="28"/>
          <w:szCs w:val="36"/>
        </w:rPr>
      </w:pPr>
      <w:r>
        <w:rPr>
          <w:rFonts w:hint="eastAsia" w:ascii="宋体" w:hAnsi="宋体" w:cs="宋体"/>
          <w:sz w:val="28"/>
          <w:szCs w:val="36"/>
        </w:rPr>
        <w:t>1、详附件2</w:t>
      </w:r>
    </w:p>
    <w:p>
      <w:pPr>
        <w:outlineLvl w:val="0"/>
        <w:rPr>
          <w:rFonts w:ascii="宋体" w:hAnsi="宋体" w:cs="宋体"/>
          <w:sz w:val="28"/>
          <w:szCs w:val="36"/>
        </w:rPr>
      </w:pPr>
      <w:r>
        <w:rPr>
          <w:rFonts w:hint="eastAsia" w:ascii="宋体" w:hAnsi="宋体" w:cs="宋体"/>
          <w:sz w:val="28"/>
          <w:szCs w:val="36"/>
          <w:lang w:eastAsia="zh-CN"/>
        </w:rPr>
        <w:t>四</w:t>
      </w:r>
      <w:r>
        <w:rPr>
          <w:rFonts w:hint="eastAsia" w:ascii="宋体" w:hAnsi="宋体" w:cs="宋体"/>
          <w:sz w:val="28"/>
          <w:szCs w:val="36"/>
        </w:rPr>
        <w:t>、其他事项</w:t>
      </w:r>
    </w:p>
    <w:p>
      <w:pPr>
        <w:pStyle w:val="2"/>
        <w:ind w:left="0"/>
        <w:outlineLvl w:val="1"/>
        <w:rPr>
          <w:rFonts w:ascii="宋体" w:hAnsi="宋体" w:cs="宋体"/>
          <w:sz w:val="28"/>
          <w:szCs w:val="28"/>
        </w:rPr>
      </w:pPr>
      <w:r>
        <w:rPr>
          <w:rFonts w:hint="eastAsia" w:ascii="宋体" w:hAnsi="宋体" w:cs="宋体"/>
          <w:sz w:val="28"/>
          <w:szCs w:val="28"/>
        </w:rPr>
        <w:t>1.以上所有项目垃圾清运及卫生处理；</w:t>
      </w:r>
    </w:p>
    <w:p>
      <w:pPr>
        <w:widowControl/>
        <w:jc w:val="left"/>
        <w:textAlignment w:val="center"/>
        <w:rPr>
          <w:rFonts w:ascii="宋体" w:hAnsi="宋体" w:eastAsia="宋体" w:cs="宋体"/>
          <w:color w:val="000000"/>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4578B"/>
    <w:multiLevelType w:val="singleLevel"/>
    <w:tmpl w:val="8484578B"/>
    <w:lvl w:ilvl="0" w:tentative="0">
      <w:start w:val="1"/>
      <w:numFmt w:val="decimal"/>
      <w:suff w:val="nothing"/>
      <w:lvlText w:val="%1、"/>
      <w:lvlJc w:val="left"/>
    </w:lvl>
  </w:abstractNum>
  <w:abstractNum w:abstractNumId="1">
    <w:nsid w:val="870F98C6"/>
    <w:multiLevelType w:val="singleLevel"/>
    <w:tmpl w:val="870F98C6"/>
    <w:lvl w:ilvl="0" w:tentative="0">
      <w:start w:val="1"/>
      <w:numFmt w:val="chineseCounting"/>
      <w:suff w:val="nothing"/>
      <w:lvlText w:val="%1、"/>
      <w:lvlJc w:val="left"/>
      <w:rPr>
        <w:rFonts w:hint="eastAsia"/>
      </w:rPr>
    </w:lvl>
  </w:abstractNum>
  <w:abstractNum w:abstractNumId="2">
    <w:nsid w:val="14BA098B"/>
    <w:multiLevelType w:val="singleLevel"/>
    <w:tmpl w:val="14BA098B"/>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C5C52"/>
    <w:rsid w:val="001B667F"/>
    <w:rsid w:val="00242FB2"/>
    <w:rsid w:val="003F3BA1"/>
    <w:rsid w:val="00496F6B"/>
    <w:rsid w:val="006172F3"/>
    <w:rsid w:val="006E3221"/>
    <w:rsid w:val="00C103CF"/>
    <w:rsid w:val="00DC1B14"/>
    <w:rsid w:val="00F22AAA"/>
    <w:rsid w:val="02D65A48"/>
    <w:rsid w:val="04E242F1"/>
    <w:rsid w:val="10E67DC3"/>
    <w:rsid w:val="128D5982"/>
    <w:rsid w:val="4E184ECF"/>
    <w:rsid w:val="4F9E2EB8"/>
    <w:rsid w:val="56FC5C52"/>
    <w:rsid w:val="5A0A5FDB"/>
    <w:rsid w:val="61C37858"/>
    <w:rsid w:val="754B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toc 7"/>
    <w:next w:val="1"/>
    <w:unhideWhenUsed/>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5">
    <w:name w:val="Default"/>
    <w:next w:val="2"/>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332</Words>
  <Characters>1896</Characters>
  <Lines>15</Lines>
  <Paragraphs>4</Paragraphs>
  <TotalTime>88</TotalTime>
  <ScaleCrop>false</ScaleCrop>
  <LinksUpToDate>false</LinksUpToDate>
  <CharactersWithSpaces>2224</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2022-04-08T06:10:00Z</dcterms:created>
  <dc:creator>Administrator</dc:creator>
  <cp:lastModifiedBy>Administrator</cp:lastModifiedBy>
  <dcterms:modified xsi:type="dcterms:W3CDTF">2022-05-16T01:02:15Z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90E10B84B08E4D1082AFD94B9B325263</vt:lpwstr>
  </property>
</Properties>
</file>