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仿宋_GB2312" w:eastAsiaTheme="minorEastAsia"/>
          <w:sz w:val="28"/>
          <w:szCs w:val="28"/>
          <w:lang w:eastAsia="zh-CN"/>
        </w:rPr>
      </w:pPr>
      <w:r>
        <w:rPr>
          <w:rFonts w:hint="eastAsia" w:ascii="宋体" w:hAnsi="宋体" w:cs="仿宋_GB2312"/>
          <w:sz w:val="28"/>
          <w:szCs w:val="28"/>
        </w:rPr>
        <w:t>正泰数智低碳现代产业学院多媒体设备采购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需求</w:t>
      </w:r>
    </w:p>
    <w:tbl>
      <w:tblPr>
        <w:tblStyle w:val="6"/>
        <w:tblpPr w:leftFromText="180" w:rightFromText="180" w:vertAnchor="text" w:tblpX="-475" w:tblpY="1"/>
        <w:tblOverlap w:val="never"/>
        <w:tblW w:w="546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29"/>
        <w:gridCol w:w="911"/>
        <w:gridCol w:w="3403"/>
        <w:gridCol w:w="850"/>
        <w:gridCol w:w="21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82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9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智慧黑板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Maxhub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SH86XE</w:t>
            </w:r>
          </w:p>
        </w:tc>
        <w:tc>
          <w:tcPr>
            <w:tcW w:w="1826" w:type="pct"/>
            <w:vMerge w:val="restart"/>
            <w:shd w:val="clear" w:color="auto" w:fill="auto"/>
            <w:vAlign w:val="center"/>
          </w:tcPr>
          <w:p>
            <w:pPr>
              <w:pStyle w:val="16"/>
              <w:ind w:firstLine="0" w:firstLineChars="0"/>
            </w:pPr>
            <w:r>
              <w:t>▲整机屏幕采用86英寸UHD超高清LED液晶屏，显示比例16:9，屏幕图像分辨率达3840*2160，全高清4K系统图标显示（提供国家级第三方认证机构测试报告</w:t>
            </w:r>
          </w:p>
          <w:p>
            <w:pPr>
              <w:pStyle w:val="16"/>
              <w:ind w:firstLine="0" w:firstLineChars="0"/>
            </w:pPr>
            <w:r>
              <w:t>色域达到72%NTSC</w:t>
            </w:r>
            <w:r>
              <w:rPr>
                <w:rFonts w:hint="eastAsia"/>
              </w:rPr>
              <w:t>，</w:t>
            </w:r>
            <w:r>
              <w:t>整机内置4K ，1300万像素高清摄像头</w:t>
            </w:r>
            <w:r>
              <w:rPr>
                <w:rFonts w:hint="eastAsia"/>
              </w:rPr>
              <w:t>，</w:t>
            </w:r>
            <w:r>
              <w:t>采用2*10W网孔发声扬声器</w:t>
            </w:r>
          </w:p>
          <w:p>
            <w:pPr>
              <w:pStyle w:val="16"/>
              <w:ind w:firstLine="0" w:firstLineChars="0"/>
            </w:pPr>
            <w:r>
              <w:t>内置6个麦克风，8米有效拾音距离（提供国家级第三方认证机构测试报告）</w:t>
            </w:r>
          </w:p>
          <w:p>
            <w:pPr>
              <w:pStyle w:val="16"/>
              <w:ind w:firstLine="0" w:firstLineChars="0"/>
            </w:pPr>
            <w:r>
              <w:t>系统内置视频会议软件，视频会议软件与整机为同一厂家（需提供软件著作权证书）</w:t>
            </w:r>
          </w:p>
          <w:p>
            <w:pPr>
              <w:pStyle w:val="16"/>
              <w:ind w:firstLine="0" w:firstLineChars="0"/>
            </w:pPr>
            <w:r>
              <w:t xml:space="preserve">整机书写面板采用防眩光全钢化防爆玻璃面板，面板的碎片状态、抗冲击性、霰弹袋冲击性能、耐热冲击性能均通过国家强制玻璃标准，表面应力≥100Mpa, 可见光透射比不低于88% </w:t>
            </w:r>
          </w:p>
          <w:p>
            <w:pPr>
              <w:pStyle w:val="16"/>
              <w:ind w:firstLine="0" w:firstLineChars="0"/>
            </w:pPr>
            <w:r>
              <w:t>采用红外触控技术，支持20点或以上触控，支持高精度红外被动笔书写，书写精度可达±2mm。（提供国家级第三方认证机构测试报告）</w:t>
            </w:r>
          </w:p>
          <w:p>
            <w:pPr>
              <w:pStyle w:val="16"/>
              <w:ind w:firstLine="0" w:firstLineChars="0"/>
            </w:pPr>
            <w:r>
              <w:t xml:space="preserve">触摸屏具有防光干扰功能，能在照度≥100K LUX（勒克司）环境下仍能正常工作。 </w:t>
            </w:r>
          </w:p>
          <w:p>
            <w:pPr>
              <w:pStyle w:val="16"/>
              <w:ind w:firstLine="0" w:firstLineChars="0"/>
            </w:pPr>
            <w:r>
              <w:t>整机内置接收模块，除无线传屏器外不需要连接任何附加设备，可实现外部电脑音视频信号实时传输到触摸一体机上（无论整机处于任何通道），并可支持触摸回传，支持免安装驱动，即插即用。</w:t>
            </w:r>
          </w:p>
          <w:p>
            <w:pPr>
              <w:pStyle w:val="16"/>
              <w:ind w:firstLine="0" w:firstLineChars="0"/>
            </w:pPr>
            <w:r>
              <w:t>手机和电脑支持混合投屏展示，最多支持四画面同屏展示，可对每个投屏内容进行独立反向操作，最多可连接32台设备。</w:t>
            </w:r>
          </w:p>
          <w:p>
            <w:pPr>
              <w:pStyle w:val="16"/>
              <w:ind w:firstLine="0" w:firstLineChars="0"/>
            </w:pPr>
            <w:r>
              <w:t>支持手机投屏软件操控大屏，小屏控大屏满足近端操控需求</w:t>
            </w:r>
          </w:p>
          <w:p>
            <w:pPr>
              <w:pStyle w:val="16"/>
              <w:ind w:firstLine="0" w:firstLineChars="0"/>
            </w:pPr>
            <w:r>
              <w:t>▲可以仅对一个窗口进行无线投屏，其他窗口内容不做展示，保证数据的隐私</w:t>
            </w:r>
          </w:p>
          <w:p>
            <w:pPr>
              <w:pStyle w:val="16"/>
              <w:ind w:firstLine="0" w:firstLineChars="0"/>
            </w:pPr>
            <w:r>
              <w:t>传屏之后，在屏幕上部中间部分显示工具栏，可以进行基本的操作（具体包括触摸回传控制，勿扰模式，暂停投屏等）</w:t>
            </w:r>
          </w:p>
          <w:p>
            <w:pPr>
              <w:pStyle w:val="16"/>
              <w:ind w:firstLine="0" w:firstLineChars="0"/>
            </w:pPr>
            <w:r>
              <w:t>可通过传屏工具栏暂停投屏功能进行画面冻结暂停，投屏电脑可自主进行其他操作，不影响整机的冻结画面内容显示</w:t>
            </w:r>
          </w:p>
          <w:p>
            <w:pPr>
              <w:pStyle w:val="16"/>
              <w:ind w:firstLine="0" w:firstLineChars="0"/>
            </w:pPr>
            <w:r>
              <w:t>可通过软件可自动发现近场可投屏的会议设备，选择即可投屏，无需手动配对</w:t>
            </w:r>
          </w:p>
          <w:p>
            <w:pPr>
              <w:pStyle w:val="16"/>
              <w:ind w:firstLine="0" w:firstLineChars="0"/>
            </w:pPr>
            <w:r>
              <w:t>窗口化本地文档打开：可以通过白板将本地的word、ppt等常用文件打开，并支持预览、翻页、全屏、批注、截屏等操作</w:t>
            </w:r>
          </w:p>
          <w:p>
            <w:pPr>
              <w:pStyle w:val="16"/>
              <w:ind w:firstLine="0" w:firstLineChars="0"/>
            </w:pPr>
            <w:r>
              <w:t>白板支持文本自动识别功能，可将书写笔迹转换成楷体</w:t>
            </w:r>
          </w:p>
          <w:p>
            <w:pPr>
              <w:pStyle w:val="16"/>
              <w:ind w:firstLine="0" w:firstLineChars="0"/>
            </w:pPr>
            <w:r>
              <w:rPr>
                <w:rFonts w:hint="eastAsia"/>
              </w:rPr>
              <w:t>投票功能：投票软件可编辑议题及选项内容</w:t>
            </w:r>
            <w:r>
              <w:t>, 最多可设置10个选项, 支持单选及多选, 设置完成后以手机扫码进行投票, 投票结果可生成饼状图或条形图, 并支持将投票结果以图片格式插入到白板</w:t>
            </w:r>
          </w:p>
          <w:p>
            <w:pPr>
              <w:pStyle w:val="16"/>
              <w:ind w:firstLine="0" w:firstLineChars="0"/>
            </w:pPr>
            <w:r>
              <w:t>侧边栏智能隐藏：侧边栏支持智能隐藏，防止显示全屏内容时被遮挡，影响视觉。当用户再次触碰屏幕时，侧边栏按钮即可再次出现</w:t>
            </w:r>
          </w:p>
          <w:p>
            <w:pPr>
              <w:pStyle w:val="16"/>
              <w:ind w:firstLine="0" w:firstLineChars="0"/>
            </w:pPr>
            <w:r>
              <w:t>多屏联动：设备装载PC模块，从PC模块输出到任意一块显示设备；在侧边栏即可一键进入多屏同显、多屏异显、单屏显示等多种状态，可与视频会议配合实现远程互动批注</w:t>
            </w:r>
          </w:p>
          <w:p>
            <w:pPr>
              <w:pStyle w:val="16"/>
              <w:ind w:firstLine="0" w:firstLineChars="0"/>
            </w:pPr>
            <w:r>
              <w:rPr>
                <w:rFonts w:hint="eastAsia"/>
              </w:rPr>
              <w:t>快捷白板：在非白板模式下可快捷调出书写板，满足用户临时快速书写需求，快捷白板内容亦可快速复制到白板中进行功能扩展，满足灵活讨论需求</w:t>
            </w:r>
          </w:p>
          <w:p>
            <w:pPr>
              <w:pStyle w:val="16"/>
              <w:ind w:firstLine="0" w:firstLineChars="0"/>
            </w:pPr>
            <w:r>
              <w:t>WIFI热点设置：可支持WIFI信道根据用户现场情况进行更改设置，确保WIFI频段使用稳定，避免信道拥挤干扰，支持热点隔离、热点SSID隐藏功能</w:t>
            </w:r>
          </w:p>
          <w:p>
            <w:pPr>
              <w:pStyle w:val="16"/>
              <w:ind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t>集控管理：支持集控管理平台软件对接，实现集控相关功能，如：批量设备管理、远程操控、个性化设置、软件管理、报表管理、账号管理功能。</w:t>
            </w:r>
            <w:bookmarkStart w:id="0" w:name="_GoBack"/>
            <w:bookmarkEnd w:id="0"/>
          </w:p>
        </w:tc>
        <w:tc>
          <w:tcPr>
            <w:tcW w:w="4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114300" distR="114300">
                  <wp:extent cx="1209675" cy="666115"/>
                  <wp:effectExtent l="0" t="0" r="9525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90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6" w:type="pct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智慧黑板一体机</w:t>
            </w:r>
          </w:p>
        </w:tc>
        <w:tc>
          <w:tcPr>
            <w:tcW w:w="49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定制/其他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智慧互动屏</w:t>
            </w:r>
          </w:p>
        </w:tc>
        <w:tc>
          <w:tcPr>
            <w:tcW w:w="182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双屏75寸4K超清120Hz高刷MEMC防抖 显示，16:9，含移动支架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14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drawing>
                <wp:inline distT="0" distB="0" distL="114300" distR="114300">
                  <wp:extent cx="1208405" cy="747395"/>
                  <wp:effectExtent l="0" t="0" r="10795" b="1460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.本项目所有设备均需满足上述参数要求；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3.产品形式：所投产品为2024年1月之后生产的产品；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4.质保期：3年；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售后服务提供原厂3年保修,需提供售后服务承诺书。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5.供货时间：下单后10个工作日。</w:t>
      </w:r>
    </w:p>
    <w:p>
      <w:pPr>
        <w:adjustRightInd w:val="0"/>
        <w:snapToGrid w:val="0"/>
        <w:spacing w:line="360" w:lineRule="auto"/>
        <w:ind w:firstLine="424" w:firstLineChars="177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6.投标报价应包含所有设备的运输、搬运、安装等费用，即提供的所有设备安装好后即可正常使用。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N2Y5ZGQ3NmZlMjAxNzNkYmU2N2RjNzRkYjcxMWUifQ=="/>
  </w:docVars>
  <w:rsids>
    <w:rsidRoot w:val="0047742E"/>
    <w:rsid w:val="00033AE7"/>
    <w:rsid w:val="000377FA"/>
    <w:rsid w:val="00046B72"/>
    <w:rsid w:val="00072911"/>
    <w:rsid w:val="00076C63"/>
    <w:rsid w:val="00083606"/>
    <w:rsid w:val="00093740"/>
    <w:rsid w:val="000A530E"/>
    <w:rsid w:val="000A7119"/>
    <w:rsid w:val="000B4227"/>
    <w:rsid w:val="000F0DDB"/>
    <w:rsid w:val="00105BF1"/>
    <w:rsid w:val="00116E19"/>
    <w:rsid w:val="00130650"/>
    <w:rsid w:val="00131562"/>
    <w:rsid w:val="00154C3C"/>
    <w:rsid w:val="00156E16"/>
    <w:rsid w:val="001709E9"/>
    <w:rsid w:val="00172C2A"/>
    <w:rsid w:val="001B52AC"/>
    <w:rsid w:val="001C2082"/>
    <w:rsid w:val="001C3FE7"/>
    <w:rsid w:val="001C6E53"/>
    <w:rsid w:val="001E018E"/>
    <w:rsid w:val="001E4A1F"/>
    <w:rsid w:val="00206360"/>
    <w:rsid w:val="002234A9"/>
    <w:rsid w:val="00297B36"/>
    <w:rsid w:val="002B67EF"/>
    <w:rsid w:val="00352044"/>
    <w:rsid w:val="00363A0C"/>
    <w:rsid w:val="0037371D"/>
    <w:rsid w:val="00374FE9"/>
    <w:rsid w:val="003C2CCB"/>
    <w:rsid w:val="00407382"/>
    <w:rsid w:val="00413CB2"/>
    <w:rsid w:val="00462DDC"/>
    <w:rsid w:val="00465D8E"/>
    <w:rsid w:val="00471BD1"/>
    <w:rsid w:val="00474A9C"/>
    <w:rsid w:val="0047742E"/>
    <w:rsid w:val="00483A31"/>
    <w:rsid w:val="0049398E"/>
    <w:rsid w:val="004A0ADB"/>
    <w:rsid w:val="004A6CC3"/>
    <w:rsid w:val="004B2C48"/>
    <w:rsid w:val="004C1B9C"/>
    <w:rsid w:val="004C562B"/>
    <w:rsid w:val="00510155"/>
    <w:rsid w:val="00511E7E"/>
    <w:rsid w:val="00522A7C"/>
    <w:rsid w:val="005835C2"/>
    <w:rsid w:val="00583EB7"/>
    <w:rsid w:val="00585E37"/>
    <w:rsid w:val="0059321F"/>
    <w:rsid w:val="005C243B"/>
    <w:rsid w:val="005C290E"/>
    <w:rsid w:val="005C4DB0"/>
    <w:rsid w:val="005C60D3"/>
    <w:rsid w:val="005C61C5"/>
    <w:rsid w:val="005C693D"/>
    <w:rsid w:val="00623A0D"/>
    <w:rsid w:val="006416B7"/>
    <w:rsid w:val="006444F6"/>
    <w:rsid w:val="006620C2"/>
    <w:rsid w:val="00663978"/>
    <w:rsid w:val="00671BF8"/>
    <w:rsid w:val="00694624"/>
    <w:rsid w:val="006F4EA1"/>
    <w:rsid w:val="007006AA"/>
    <w:rsid w:val="0074773B"/>
    <w:rsid w:val="00795464"/>
    <w:rsid w:val="007C2062"/>
    <w:rsid w:val="007F1ADB"/>
    <w:rsid w:val="00806CAF"/>
    <w:rsid w:val="008178E4"/>
    <w:rsid w:val="008271D3"/>
    <w:rsid w:val="0086675E"/>
    <w:rsid w:val="00866E58"/>
    <w:rsid w:val="0087748C"/>
    <w:rsid w:val="008A408B"/>
    <w:rsid w:val="008D4B2F"/>
    <w:rsid w:val="008E2B9C"/>
    <w:rsid w:val="008F5111"/>
    <w:rsid w:val="00974DE8"/>
    <w:rsid w:val="0099240D"/>
    <w:rsid w:val="009A0573"/>
    <w:rsid w:val="009A3B4F"/>
    <w:rsid w:val="009C1896"/>
    <w:rsid w:val="009C51F2"/>
    <w:rsid w:val="00A023A6"/>
    <w:rsid w:val="00A14419"/>
    <w:rsid w:val="00A16FA1"/>
    <w:rsid w:val="00A737B4"/>
    <w:rsid w:val="00A8799D"/>
    <w:rsid w:val="00AA0B82"/>
    <w:rsid w:val="00AB6045"/>
    <w:rsid w:val="00AC2EAB"/>
    <w:rsid w:val="00AC52EA"/>
    <w:rsid w:val="00AF42A9"/>
    <w:rsid w:val="00B02B90"/>
    <w:rsid w:val="00B05AB7"/>
    <w:rsid w:val="00B217D7"/>
    <w:rsid w:val="00B657F3"/>
    <w:rsid w:val="00B67E66"/>
    <w:rsid w:val="00B71E2F"/>
    <w:rsid w:val="00B86F9F"/>
    <w:rsid w:val="00BC6242"/>
    <w:rsid w:val="00BD43FA"/>
    <w:rsid w:val="00BF5B8E"/>
    <w:rsid w:val="00C04AFF"/>
    <w:rsid w:val="00C06A9F"/>
    <w:rsid w:val="00CA6E60"/>
    <w:rsid w:val="00CD3AFB"/>
    <w:rsid w:val="00CD5230"/>
    <w:rsid w:val="00CD6E8C"/>
    <w:rsid w:val="00CE3F9A"/>
    <w:rsid w:val="00D50B77"/>
    <w:rsid w:val="00E31918"/>
    <w:rsid w:val="00E477D2"/>
    <w:rsid w:val="00EE3947"/>
    <w:rsid w:val="00F50505"/>
    <w:rsid w:val="00F95E46"/>
    <w:rsid w:val="00FA195E"/>
    <w:rsid w:val="00FA4FA7"/>
    <w:rsid w:val="00FB3B04"/>
    <w:rsid w:val="00FB523B"/>
    <w:rsid w:val="00FD6C05"/>
    <w:rsid w:val="179541A1"/>
    <w:rsid w:val="1BFB80D1"/>
    <w:rsid w:val="1DD60847"/>
    <w:rsid w:val="1EE867F3"/>
    <w:rsid w:val="23250B58"/>
    <w:rsid w:val="2BE074B1"/>
    <w:rsid w:val="30881A2C"/>
    <w:rsid w:val="324178CF"/>
    <w:rsid w:val="477535AD"/>
    <w:rsid w:val="49A21D12"/>
    <w:rsid w:val="4BDD1547"/>
    <w:rsid w:val="52021EE1"/>
    <w:rsid w:val="58550FBC"/>
    <w:rsid w:val="5EFE72CE"/>
    <w:rsid w:val="71B42EC3"/>
    <w:rsid w:val="79695CC0"/>
    <w:rsid w:val="FBD62CF5"/>
    <w:rsid w:val="FFE39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正文文本缩进 字符"/>
    <w:basedOn w:val="7"/>
    <w:link w:val="2"/>
    <w:qFormat/>
    <w:uiPriority w:val="0"/>
    <w:rPr>
      <w:rFonts w:ascii="宋体" w:hAnsi="Courier New" w:eastAsia="宋体" w:cs="Times New Roman"/>
      <w:spacing w:val="-4"/>
      <w:kern w:val="2"/>
      <w:sz w:val="18"/>
    </w:rPr>
  </w:style>
  <w:style w:type="character" w:customStyle="1" w:styleId="14">
    <w:name w:val="批注框文本 字符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[Normal]"/>
    <w:qFormat/>
    <w:uiPriority w:val="99"/>
    <w:rPr>
      <w:rFonts w:ascii="宋体" w:hAnsi="宋体" w:eastAsia="宋体" w:cs="Times New Roman"/>
      <w:sz w:val="24"/>
      <w:lang w:val="zh-CN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1454</Words>
  <Characters>1557</Characters>
  <Lines>11</Lines>
  <Paragraphs>3</Paragraphs>
  <TotalTime>18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2024-06-20T07:38:00Z</dcterms:created>
  <dc:creator>mac pro</dc:creator>
  <cp:lastModifiedBy>韩菲尹</cp:lastModifiedBy>
  <cp:lastPrinted>2024-06-18T20:40:00Z</cp:lastPrinted>
  <dcterms:modified xsi:type="dcterms:W3CDTF">2024-07-01T07:10:33Z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66FD721C471847288373412B3A184915_13</vt:lpwstr>
  </property>
</Properties>
</file>